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84"/>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84"/>
        </w:rPr>
        <w:t xml:space="preserve">招　标　文　件</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ind w:firstLine="1285"/>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项目名称：</w:t>
      </w:r>
      <w:bookmarkStart w:id="0" w:name="OLE_LINK3"/>
      <w:r/>
      <w:bookmarkStart w:id="1" w:name="OLE_LINK4"/>
      <w:r>
        <w:rPr>
          <w:rFonts w:hint="eastAsia" w:ascii="宋体" w:hAnsi="宋体" w:cs="宋体"/>
          <w:b/>
          <w:color w:val="000000"/>
          <w:sz w:val="32"/>
        </w:rPr>
        <w:t xml:space="preserve">扬州市财政投资评审中心江平东路东延工程</w:t>
      </w:r>
      <w:r>
        <w:rPr>
          <w:rFonts w:hint="eastAsia" w:ascii="宋体" w:hAnsi="宋体" w:cs="宋体"/>
          <w:b/>
          <w:color w:val="000000"/>
          <w:sz w:val="32"/>
        </w:rPr>
        <w:t xml:space="preserve">非涉铁段</w:t>
      </w:r>
      <w:r>
        <w:rPr>
          <w:rFonts w:hint="eastAsia" w:ascii="宋体" w:hAnsi="宋体" w:cs="宋体"/>
          <w:b/>
          <w:color w:val="000000"/>
          <w:sz w:val="32"/>
        </w:rPr>
        <w:t xml:space="preserve">二期1标跟踪审核</w:t>
      </w:r>
      <w:bookmarkEnd w:id="0"/>
      <w:r/>
      <w:bookmarkEnd w:id="1"/>
      <w:r/>
      <w:r/>
    </w:p>
    <w:p>
      <w:pPr>
        <w:ind w:firstLine="1285"/>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项目编号：</w:t>
      </w:r>
      <w:bookmarkStart w:id="2" w:name="OLE_LINK5"/>
      <w:r/>
      <w:bookmarkStart w:id="3" w:name="OLE_LINK6"/>
      <w:r>
        <w:rPr>
          <w:rFonts w:ascii="宋体" w:hAnsi="宋体" w:cs="宋体"/>
          <w:b/>
          <w:color w:val="000000"/>
          <w:sz w:val="32"/>
        </w:rPr>
        <w:t xml:space="preserve">JSZC-321000-JZCG-G2025-0133</w:t>
      </w:r>
      <w:bookmarkEnd w:id="2"/>
      <w:r/>
      <w:bookmarkEnd w:id="3"/>
      <w:r/>
      <w:r/>
    </w:p>
    <w:p>
      <w:pPr>
        <w:ind w:firstLine="128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128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128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扬州市公共资源交易中心</w:t>
      </w:r>
      <w:r/>
    </w:p>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32"/>
          <w:u w:val="single"/>
        </w:rPr>
        <w:t xml:space="preserve">   2025 </w:t>
      </w:r>
      <w:r>
        <w:rPr>
          <w:rFonts w:ascii="宋体" w:hAnsi="宋体" w:cs="宋体"/>
          <w:b/>
          <w:color w:val="000000"/>
          <w:sz w:val="32"/>
        </w:rPr>
        <w:t xml:space="preserve">年</w:t>
      </w:r>
      <w:r>
        <w:rPr>
          <w:rFonts w:ascii="宋体" w:hAnsi="宋体" w:cs="宋体"/>
          <w:b/>
          <w:color w:val="000000"/>
          <w:sz w:val="32"/>
          <w:u w:val="single"/>
        </w:rPr>
        <w:t xml:space="preserve"> 11 </w:t>
      </w:r>
      <w:r>
        <w:rPr>
          <w:rFonts w:ascii="宋体" w:hAnsi="宋体" w:cs="宋体"/>
          <w:b/>
          <w:color w:val="000000"/>
          <w:sz w:val="32"/>
        </w:rPr>
        <w:t xml:space="preserve">月</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br w:type="page" w:clear="all"/>
      </w:r>
      <w:r>
        <w:rPr>
          <w:rFonts w:ascii="黑体" w:hAnsi="黑体" w:eastAsia="黑体" w:cs="黑体"/>
          <w:b/>
          <w:color w:val="000000"/>
          <w:sz w:val="44"/>
        </w:rPr>
        <w:t xml:space="preserve">总目录</w:t>
      </w:r>
      <w:r/>
    </w:p>
    <w:p>
      <w:p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投标邀请……</w:t>
      </w:r>
      <w:r>
        <w:rPr>
          <w:rFonts w:ascii="黑体" w:hAnsi="黑体" w:eastAsia="黑体" w:cs="黑体"/>
          <w:color w:val="000000"/>
          <w:sz w:val="36"/>
        </w:rPr>
        <w:t xml:space="preserve">………………………………</w:t>
      </w:r>
      <w:r>
        <w:rPr>
          <w:rFonts w:ascii="黑体" w:hAnsi="黑体" w:eastAsia="黑体" w:cs="黑体"/>
          <w:color w:val="000000"/>
          <w:sz w:val="36"/>
        </w:rPr>
        <w:t xml:space="preserve">3</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投标人须知……</w:t>
      </w:r>
      <w:r>
        <w:rPr>
          <w:rFonts w:ascii="黑体" w:hAnsi="黑体" w:eastAsia="黑体" w:cs="黑体"/>
          <w:color w:val="000000"/>
          <w:sz w:val="36"/>
        </w:rPr>
        <w:t xml:space="preserve">……………………………</w:t>
      </w:r>
      <w:r>
        <w:rPr>
          <w:rFonts w:ascii="黑体" w:hAnsi="黑体" w:eastAsia="黑体" w:cs="黑体"/>
          <w:color w:val="000000"/>
          <w:sz w:val="36"/>
        </w:rPr>
        <w:t xml:space="preserve">6</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合同文本……</w:t>
      </w:r>
      <w:r>
        <w:rPr>
          <w:rFonts w:ascii="黑体" w:hAnsi="黑体" w:eastAsia="黑体" w:cs="黑体"/>
          <w:color w:val="000000"/>
          <w:sz w:val="36"/>
        </w:rPr>
        <w:t xml:space="preserve">………………………………</w:t>
      </w:r>
      <w:r>
        <w:rPr>
          <w:rFonts w:ascii="黑体" w:hAnsi="黑体" w:eastAsia="黑体" w:cs="黑体"/>
          <w:color w:val="000000"/>
          <w:sz w:val="36"/>
        </w:rPr>
        <w:t xml:space="preserve">15</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采购需求……</w:t>
      </w:r>
      <w:r>
        <w:rPr>
          <w:rFonts w:ascii="黑体" w:hAnsi="黑体" w:eastAsia="黑体" w:cs="黑体"/>
          <w:color w:val="000000"/>
          <w:sz w:val="36"/>
        </w:rPr>
        <w:t xml:space="preserve">………………………………</w:t>
      </w:r>
      <w:r>
        <w:rPr>
          <w:rFonts w:ascii="黑体" w:hAnsi="黑体" w:eastAsia="黑体" w:cs="黑体"/>
          <w:color w:val="000000"/>
          <w:sz w:val="36"/>
        </w:rPr>
        <w:t xml:space="preserve">19</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评标方法与评标标准……</w:t>
      </w:r>
      <w:r>
        <w:rPr>
          <w:rFonts w:ascii="黑体" w:hAnsi="黑体" w:eastAsia="黑体" w:cs="黑体"/>
          <w:color w:val="000000"/>
          <w:sz w:val="36"/>
        </w:rPr>
        <w:t xml:space="preserve">…………………</w:t>
      </w:r>
      <w:r>
        <w:rPr>
          <w:rFonts w:ascii="黑体" w:hAnsi="黑体" w:eastAsia="黑体" w:cs="黑体"/>
          <w:color w:val="000000"/>
          <w:sz w:val="36"/>
        </w:rPr>
        <w:t xml:space="preserve">53</w:t>
      </w:r>
      <w:r/>
    </w:p>
    <w:p>
      <w:pPr>
        <w:numPr>
          <w:ilvl w:val="0"/>
          <w:numId w:val="8"/>
        </w:num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rPr>
        <w:t xml:space="preserve">投标文件格式……</w:t>
      </w:r>
      <w:r>
        <w:rPr>
          <w:rFonts w:ascii="黑体" w:hAnsi="黑体" w:eastAsia="黑体" w:cs="黑体"/>
          <w:color w:val="000000"/>
          <w:sz w:val="36"/>
        </w:rPr>
        <w:t xml:space="preserve">…………………………</w:t>
      </w:r>
      <w:r>
        <w:rPr>
          <w:rFonts w:ascii="黑体" w:hAnsi="黑体" w:eastAsia="黑体" w:cs="黑体"/>
          <w:color w:val="000000"/>
          <w:sz w:val="36"/>
        </w:rPr>
        <w:t xml:space="preserve">56</w:t>
      </w:r>
      <w:r/>
    </w:p>
    <w:p>
      <w:pPr>
        <w:spacing w:before="210" w:after="57"/>
        <w:pBdr>
          <w:top w:val="none" w:color="000000" w:sz="4" w:space="0"/>
          <w:left w:val="none" w:color="000000" w:sz="4" w:space="0"/>
          <w:bottom w:val="none" w:color="000000" w:sz="4" w:space="0"/>
          <w:right w:val="none" w:color="000000" w:sz="4" w:space="0"/>
        </w:pBdr>
      </w:pPr>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spacing w:before="240" w:after="240"/>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rPr>
        <w:t xml:space="preserve"> </w:t>
      </w:r>
      <w:r/>
    </w:p>
    <w:p>
      <w:pPr>
        <w:pStyle w:val="705"/>
        <w:rPr>
          <w:rFonts w:hint="eastAsia"/>
        </w:rPr>
      </w:pPr>
      <w:r>
        <w:rPr>
          <w:rStyle w:val="899"/>
          <w:rFonts w:ascii="黑体" w:hAnsi="黑体" w:cs="黑体"/>
        </w:rPr>
        <w:t xml:space="preserve">第一章 投标邀请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受[</w:t>
      </w:r>
      <w:r>
        <w:rPr>
          <w:rFonts w:hint="eastAsia" w:ascii="宋体" w:hAnsi="宋体" w:cs="宋体"/>
          <w:color w:val="000000"/>
          <w:sz w:val="24"/>
        </w:rPr>
        <w:t xml:space="preserve">扬州市财政投资评审中心</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扬州市财政投资评审中心江平东路东延工程</w:t>
      </w:r>
      <w:r>
        <w:rPr>
          <w:rFonts w:hint="eastAsia" w:ascii="宋体" w:hAnsi="宋体" w:cs="宋体"/>
          <w:color w:val="000000"/>
          <w:sz w:val="24"/>
        </w:rPr>
        <w:t xml:space="preserve">非涉铁段</w:t>
      </w:r>
      <w:r>
        <w:rPr>
          <w:rFonts w:hint="eastAsia" w:ascii="宋体" w:hAnsi="宋体" w:cs="宋体"/>
          <w:color w:val="000000"/>
          <w:sz w:val="24"/>
        </w:rPr>
        <w:t xml:space="preserve">二期1标跟踪审核</w:t>
      </w:r>
      <w:r>
        <w:rPr>
          <w:rFonts w:ascii="宋体" w:hAnsi="宋体" w:cs="宋体"/>
          <w:color w:val="000000"/>
          <w:sz w:val="24"/>
        </w:rPr>
        <w:t xml:space="preserve">](</w:t>
      </w:r>
      <w:r>
        <w:rPr>
          <w:rFonts w:cs="Segoe UI" w:asciiTheme="minorEastAsia" w:hAnsiTheme="minorEastAsia" w:eastAsiaTheme="minorEastAsia"/>
          <w:sz w:val="24"/>
          <w:szCs w:val="24"/>
          <w:shd w:val="clear" w:color="auto" w:fill="ffffff"/>
        </w:rPr>
        <w:t xml:space="preserve">JSZC-321000-JZCG-G2025-0133</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扬州市财政投资评审中心江平东路东延工程</w:t>
      </w:r>
      <w:r>
        <w:rPr>
          <w:rFonts w:hint="eastAsia" w:ascii="宋体" w:hAnsi="宋体" w:cs="宋体"/>
          <w:color w:val="000000"/>
          <w:sz w:val="24"/>
          <w:u w:val="single"/>
        </w:rPr>
        <w:t xml:space="preserve">非涉铁段</w:t>
      </w:r>
      <w:r>
        <w:rPr>
          <w:rFonts w:hint="eastAsia" w:ascii="宋体" w:hAnsi="宋体" w:cs="宋体"/>
          <w:color w:val="000000"/>
          <w:sz w:val="24"/>
          <w:u w:val="single"/>
        </w:rPr>
        <w:t xml:space="preserve">二期1标跟踪审核</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  2025 年  12  月  19  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一、项目基本情况</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1.项目编号：</w:t>
      </w:r>
      <w:r>
        <w:rPr>
          <w:rFonts w:ascii="宋体" w:hAnsi="宋体" w:cs="宋体"/>
          <w:color w:val="000000"/>
          <w:sz w:val="24"/>
        </w:rPr>
        <w:t xml:space="preserve">JSZC-321000-JZCG-G2025-0133</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2.项目名称：</w:t>
      </w:r>
      <w:bookmarkStart w:id="4" w:name="OLE_LINK1"/>
      <w:r/>
      <w:bookmarkStart w:id="5" w:name="OLE_LINK2"/>
      <w:r>
        <w:rPr>
          <w:rFonts w:hint="eastAsia" w:ascii="宋体" w:hAnsi="宋体" w:cs="宋体"/>
          <w:color w:val="000000"/>
          <w:sz w:val="24"/>
        </w:rPr>
        <w:t xml:space="preserve">扬州市财政投资评审中心</w:t>
      </w:r>
      <w:bookmarkEnd w:id="4"/>
      <w:r/>
      <w:bookmarkEnd w:id="5"/>
      <w:r>
        <w:rPr>
          <w:rFonts w:hint="eastAsia" w:ascii="宋体" w:hAnsi="宋体" w:cs="宋体"/>
          <w:color w:val="000000"/>
          <w:sz w:val="24"/>
        </w:rPr>
        <w:t xml:space="preserve">江平东路东延工程</w:t>
      </w:r>
      <w:r>
        <w:rPr>
          <w:rFonts w:hint="eastAsia" w:ascii="宋体" w:hAnsi="宋体" w:cs="宋体"/>
          <w:color w:val="000000"/>
          <w:sz w:val="24"/>
        </w:rPr>
        <w:t xml:space="preserve">非涉铁段</w:t>
      </w:r>
      <w:r>
        <w:rPr>
          <w:rFonts w:hint="eastAsia" w:ascii="宋体" w:hAnsi="宋体" w:cs="宋体"/>
          <w:color w:val="000000"/>
          <w:sz w:val="24"/>
        </w:rPr>
        <w:t xml:space="preserve">二期1标跟踪审核</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3.预算金额：</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themeColor="text1"/>
                <w:sz w:val="24"/>
                <w:lang w:val="en"/>
              </w:rPr>
              <w:t xml:space="preserve">82.89</w:t>
            </w:r>
            <w:r>
              <w:rPr>
                <w:rFonts w:ascii="宋体" w:hAnsi="宋体" w:cs="宋体"/>
                <w:color w:val="000000" w:themeColor="text1"/>
                <w:sz w:val="24"/>
              </w:rPr>
              <w:t xml:space="preserve">万元</w:t>
            </w:r>
            <w:r/>
          </w:p>
        </w:tc>
      </w:tr>
    </w:tbl>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4.最高限价：</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lang w:val="en"/>
              </w:rPr>
              <w:t xml:space="preserve">82.89</w:t>
            </w:r>
            <w:r>
              <w:rPr>
                <w:rFonts w:hint="eastAsia" w:ascii="宋体" w:hAnsi="宋体" w:cs="宋体"/>
                <w:color w:val="000000" w:themeColor="text1"/>
                <w:sz w:val="24"/>
              </w:rPr>
              <w:t xml:space="preserve">万元</w:t>
            </w:r>
            <w:r/>
          </w:p>
        </w:tc>
      </w:tr>
    </w:tbl>
    <w:p>
      <w:pPr>
        <w:ind w:firstLine="480"/>
        <w:rPr>
          <w:rFonts w:ascii="宋体" w:hAnsi="宋体"/>
          <w:color w:val="000000"/>
          <w:sz w:val="24"/>
          <w:szCs w:val="24"/>
        </w:rPr>
      </w:pPr>
      <w:r>
        <w:rPr>
          <w:rFonts w:ascii="宋体" w:hAnsi="宋体" w:cs="宋体"/>
          <w:color w:val="000000"/>
          <w:sz w:val="24"/>
        </w:rPr>
        <w:t xml:space="preserve">5.采购需求（简介）：</w:t>
      </w:r>
      <w:r>
        <w:rPr>
          <w:rFonts w:hint="eastAsia" w:ascii="宋体" w:hAnsi="宋体" w:cs="宋体"/>
          <w:color w:val="000000"/>
          <w:sz w:val="24"/>
        </w:rPr>
        <w:t xml:space="preserve">（1）为了强化监督，严格控制工程造价，扬州市财政投资评审中心通过公开招标，选择工程造价咨询单位对江平东路东延工程</w:t>
      </w:r>
      <w:r>
        <w:rPr>
          <w:rFonts w:hint="eastAsia" w:ascii="宋体" w:hAnsi="宋体" w:cs="宋体"/>
          <w:color w:val="000000"/>
          <w:sz w:val="24"/>
        </w:rPr>
        <w:t xml:space="preserve">非涉铁段</w:t>
      </w:r>
      <w:r>
        <w:rPr>
          <w:rFonts w:hint="eastAsia" w:ascii="宋体" w:hAnsi="宋体" w:cs="宋体"/>
          <w:color w:val="000000"/>
          <w:sz w:val="24"/>
        </w:rPr>
        <w:t xml:space="preserve">二期1标</w:t>
      </w:r>
      <w:r>
        <w:rPr>
          <w:rFonts w:hint="eastAsia" w:asciiTheme="minorEastAsia" w:hAnsiTheme="minorEastAsia" w:eastAsiaTheme="minorEastAsia"/>
          <w:color w:val="000000" w:themeColor="text1"/>
          <w:sz w:val="24"/>
          <w:szCs w:val="24"/>
        </w:rPr>
        <w:t xml:space="preserve">进行全过程跟踪审核。</w:t>
      </w:r>
      <w:r>
        <w:rPr>
          <w:rFonts w:ascii="宋体" w:hAnsi="宋体"/>
          <w:color w:val="000000"/>
          <w:sz w:val="24"/>
          <w:szCs w:val="24"/>
        </w:rPr>
        <w:t xml:space="preserve"> </w:t>
      </w:r>
      <w:r/>
    </w:p>
    <w:p>
      <w:pPr>
        <w:ind w:firstLine="480"/>
        <w:spacing w:line="312"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江平东路东延工程</w:t>
      </w:r>
      <w:r>
        <w:rPr>
          <w:rFonts w:hint="eastAsia" w:ascii="宋体" w:hAnsi="宋体" w:cs="宋体"/>
          <w:color w:val="000000"/>
          <w:sz w:val="24"/>
          <w:szCs w:val="24"/>
        </w:rPr>
        <w:t xml:space="preserve">非涉铁段</w:t>
      </w:r>
      <w:r>
        <w:rPr>
          <w:rFonts w:hint="eastAsia" w:ascii="宋体" w:hAnsi="宋体" w:cs="宋体"/>
          <w:color w:val="000000"/>
          <w:sz w:val="24"/>
          <w:szCs w:val="24"/>
        </w:rPr>
        <w:t xml:space="preserve">二期是2025年市政府城市建设和环境提升重点项目。工程起点金湾河西</w:t>
      </w:r>
      <w:r>
        <w:rPr>
          <w:rFonts w:hint="eastAsia" w:ascii="宋体" w:hAnsi="宋体" w:cs="宋体"/>
          <w:color w:val="000000"/>
          <w:sz w:val="24"/>
          <w:szCs w:val="24"/>
        </w:rPr>
        <w:t xml:space="preserve">侧接涉铁应急</w:t>
      </w:r>
      <w:r>
        <w:rPr>
          <w:rFonts w:hint="eastAsia" w:ascii="宋体" w:hAnsi="宋体" w:cs="宋体"/>
          <w:color w:val="000000"/>
          <w:sz w:val="24"/>
          <w:szCs w:val="24"/>
        </w:rPr>
        <w:t xml:space="preserve">段，</w:t>
      </w:r>
      <w:r>
        <w:rPr>
          <w:rFonts w:hint="eastAsia" w:ascii="宋体" w:hAnsi="宋体" w:cs="宋体"/>
          <w:color w:val="000000"/>
          <w:sz w:val="24"/>
          <w:szCs w:val="24"/>
        </w:rPr>
        <w:t xml:space="preserve">跨金湾</w:t>
      </w:r>
      <w:r>
        <w:rPr>
          <w:rFonts w:hint="eastAsia" w:ascii="宋体" w:hAnsi="宋体" w:cs="宋体"/>
          <w:color w:val="000000"/>
          <w:sz w:val="24"/>
          <w:szCs w:val="24"/>
        </w:rPr>
        <w:t xml:space="preserve">河后向东与金</w:t>
      </w:r>
      <w:r>
        <w:rPr>
          <w:rFonts w:hint="eastAsia" w:ascii="宋体" w:hAnsi="宋体" w:cs="宋体"/>
          <w:color w:val="000000"/>
          <w:sz w:val="24"/>
          <w:szCs w:val="24"/>
        </w:rPr>
        <w:t xml:space="preserve">湾路</w:t>
      </w:r>
      <w:r>
        <w:rPr>
          <w:rFonts w:hint="eastAsia" w:ascii="宋体" w:hAnsi="宋体" w:cs="宋体"/>
          <w:color w:val="000000"/>
          <w:sz w:val="24"/>
          <w:szCs w:val="24"/>
        </w:rPr>
        <w:t xml:space="preserve">交叉设置Y型互通，主路继续向东</w:t>
      </w:r>
      <w:r>
        <w:rPr>
          <w:rFonts w:hint="eastAsia" w:ascii="宋体" w:hAnsi="宋体" w:cs="宋体"/>
          <w:color w:val="000000"/>
          <w:sz w:val="24"/>
          <w:szCs w:val="24"/>
        </w:rPr>
        <w:t xml:space="preserve">上跨高水</w:t>
      </w:r>
      <w:r>
        <w:rPr>
          <w:rFonts w:hint="eastAsia" w:ascii="宋体" w:hAnsi="宋体" w:cs="宋体"/>
          <w:color w:val="000000"/>
          <w:sz w:val="24"/>
          <w:szCs w:val="24"/>
        </w:rPr>
        <w:t xml:space="preserve">河、邵仙河后落地，止于连镇高铁西侧，全长约2.156km。采用主6辅4断面形式，主线按城市快速路标准建设，设计速度80km/h,辅道按城市主干路标准设计，设计速度50km/h。按照市委市政府统一部署，本项目拟分为2个标段，本次先行启动二期工程1标段。本标段包括金湾河桥、金</w:t>
      </w:r>
      <w:r>
        <w:rPr>
          <w:rFonts w:hint="eastAsia" w:ascii="宋体" w:hAnsi="宋体" w:cs="宋体"/>
          <w:color w:val="000000"/>
          <w:sz w:val="24"/>
          <w:szCs w:val="24"/>
        </w:rPr>
        <w:t xml:space="preserve">湾路</w:t>
      </w:r>
      <w:r>
        <w:rPr>
          <w:rFonts w:hint="eastAsia" w:ascii="宋体" w:hAnsi="宋体" w:cs="宋体"/>
          <w:color w:val="000000"/>
          <w:sz w:val="24"/>
          <w:szCs w:val="24"/>
        </w:rPr>
        <w:t xml:space="preserve">互通匝道及地面辅路系统；主要构造物包括:金湾河桥、金</w:t>
      </w:r>
      <w:r>
        <w:rPr>
          <w:rFonts w:hint="eastAsia" w:ascii="宋体" w:hAnsi="宋体" w:cs="宋体"/>
          <w:color w:val="000000"/>
          <w:sz w:val="24"/>
          <w:szCs w:val="24"/>
        </w:rPr>
        <w:t xml:space="preserve">湾路</w:t>
      </w:r>
      <w:r>
        <w:rPr>
          <w:rFonts w:hint="eastAsia" w:ascii="宋体" w:hAnsi="宋体" w:cs="宋体"/>
          <w:color w:val="000000"/>
          <w:sz w:val="24"/>
          <w:szCs w:val="24"/>
        </w:rPr>
        <w:t xml:space="preserve">互通桥梁及箱涵、箱通。同步实施市政配套排水工程、路灯照明、交安及监控工程、景观绿化、海绵城市建设、供电下地、金湾河河道补偿等。</w:t>
      </w:r>
      <w:r>
        <w:rPr>
          <w:rFonts w:hint="eastAsia" w:ascii="宋体" w:hAnsi="宋体"/>
          <w:color w:val="000000"/>
          <w:sz w:val="24"/>
          <w:szCs w:val="24"/>
        </w:rPr>
        <w:t xml:space="preserve">经评审，该项目概算为</w:t>
      </w:r>
      <w:r>
        <w:rPr>
          <w:rFonts w:hint="eastAsia" w:ascii="宋体" w:hAnsi="宋体"/>
          <w:color w:val="000000"/>
          <w:sz w:val="24"/>
          <w:szCs w:val="24"/>
          <w:lang w:val="en"/>
        </w:rPr>
        <w:t xml:space="preserve">75768.14</w:t>
      </w:r>
      <w:r>
        <w:rPr>
          <w:rFonts w:hint="eastAsia" w:ascii="宋体" w:hAnsi="宋体"/>
          <w:color w:val="000000"/>
          <w:sz w:val="24"/>
          <w:szCs w:val="24"/>
        </w:rPr>
        <w:t xml:space="preserve">万元，其中工程费用</w:t>
      </w:r>
      <w:r>
        <w:rPr>
          <w:rFonts w:hint="eastAsia" w:ascii="宋体" w:hAnsi="宋体"/>
          <w:color w:val="000000"/>
          <w:sz w:val="24"/>
          <w:szCs w:val="24"/>
          <w:lang w:val="en"/>
        </w:rPr>
        <w:t xml:space="preserve">63154.62</w:t>
      </w:r>
      <w:r>
        <w:rPr>
          <w:rFonts w:hint="eastAsia" w:ascii="宋体" w:hAnsi="宋体"/>
          <w:color w:val="000000"/>
          <w:sz w:val="24"/>
          <w:szCs w:val="24"/>
        </w:rPr>
        <w:t xml:space="preserve">万元，管线改迁6051.54万元，工程建设其他费用3467.66万元，预备费3094.32万</w:t>
      </w:r>
      <w:r>
        <w:rPr>
          <w:rFonts w:hint="eastAsia" w:ascii="宋体" w:hAnsi="宋体"/>
          <w:color w:val="000000"/>
          <w:sz w:val="24"/>
          <w:szCs w:val="24"/>
        </w:rPr>
        <w:t xml:space="preserve">元，预计服务期约</w:t>
      </w:r>
      <w:r>
        <w:rPr>
          <w:rFonts w:hint="eastAsia" w:ascii="宋体" w:hAnsi="宋体"/>
          <w:color w:val="000000"/>
          <w:sz w:val="24"/>
          <w:szCs w:val="24"/>
          <w:lang w:val="en"/>
        </w:rPr>
        <w:t xml:space="preserve">2年</w:t>
      </w:r>
      <w:r>
        <w:rPr>
          <w:rFonts w:hint="eastAsia" w:ascii="宋体" w:hAnsi="宋体"/>
          <w:color w:val="000000"/>
          <w:sz w:val="24"/>
          <w:szCs w:val="24"/>
        </w:rPr>
        <w:t xml:space="preserve">。</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（详细内容见本招标文件第四章）</w:t>
      </w:r>
      <w:r/>
    </w:p>
    <w:p>
      <w:pPr>
        <w:ind w:firstLine="480"/>
        <w:spacing w:line="400" w:lineRule="atLeast"/>
        <w:rPr>
          <w:rFonts w:asciiTheme="minorEastAsia" w:hAnsiTheme="minorEastAsia" w:eastAsiaTheme="minorEastAsia"/>
          <w:color w:val="000000" w:themeColor="text1"/>
          <w:sz w:val="24"/>
          <w:szCs w:val="24"/>
        </w:rPr>
      </w:pPr>
      <w:r>
        <w:rPr>
          <w:rFonts w:ascii="宋体" w:hAnsi="宋体" w:cs="宋体"/>
          <w:color w:val="000000"/>
          <w:sz w:val="24"/>
        </w:rPr>
        <w:t xml:space="preserve">6.合同履行期限：</w:t>
      </w:r>
      <w:r>
        <w:rPr>
          <w:rFonts w:hint="eastAsia" w:asciiTheme="minorEastAsia" w:hAnsiTheme="minorEastAsia" w:eastAsiaTheme="minorEastAsia"/>
          <w:color w:val="000000" w:themeColor="text1"/>
          <w:sz w:val="24"/>
          <w:szCs w:val="24"/>
        </w:rPr>
        <w:t xml:space="preserve">合同签订之日起约</w:t>
      </w:r>
      <w:r>
        <w:rPr>
          <w:rFonts w:hint="eastAsia" w:asciiTheme="minorEastAsia" w:hAnsiTheme="minorEastAsia" w:eastAsiaTheme="minorEastAsia"/>
          <w:color w:val="000000" w:themeColor="text1"/>
          <w:sz w:val="24"/>
          <w:szCs w:val="24"/>
          <w:lang w:val="en"/>
        </w:rPr>
        <w:t xml:space="preserve">2年</w:t>
      </w:r>
      <w:r>
        <w:rPr>
          <w:rFonts w:hint="eastAsia" w:asciiTheme="minorEastAsia" w:hAnsiTheme="minorEastAsia" w:eastAsiaTheme="minorEastAsia"/>
          <w:color w:val="000000" w:themeColor="text1"/>
          <w:sz w:val="24"/>
          <w:szCs w:val="24"/>
        </w:rPr>
        <w:t xml:space="preserve">。</w:t>
      </w:r>
      <w:r/>
    </w:p>
    <w:p>
      <w:pPr>
        <w:ind w:firstLine="480"/>
        <w:spacing w:line="400" w:lineRule="atLeast"/>
        <w:pBdr>
          <w:top w:val="none" w:color="000000" w:sz="4" w:space="0"/>
          <w:left w:val="none" w:color="000000" w:sz="4" w:space="0"/>
          <w:bottom w:val="none" w:color="000000" w:sz="4" w:space="0"/>
          <w:right w:val="none" w:color="000000" w:sz="4" w:space="0"/>
        </w:pBdr>
      </w:pPr>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二、申请人的资格要求：</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（一）通用资格要求</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 上一年度的财务状况报告（成立不满一年无需提供）；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 供应商信用承诺函。</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4.联合体投标</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r>
    </w:tbl>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5.进口产品投标</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否</w:t>
            </w:r>
            <w:r/>
          </w:p>
        </w:tc>
      </w:tr>
    </w:tbl>
    <w:p>
      <w:pPr>
        <w:ind w:firstLine="24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（二）本项目的特定资格要求</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left"/>
              <w:spacing w:line="400" w:lineRule="atLeast"/>
              <w:pBdr>
                <w:top w:val="none" w:color="000000" w:sz="4" w:space="0"/>
                <w:left w:val="none" w:color="000000" w:sz="4" w:space="0"/>
                <w:bottom w:val="none" w:color="000000" w:sz="4" w:space="0"/>
                <w:right w:val="none" w:color="000000" w:sz="4" w:space="0"/>
              </w:pBdr>
            </w:pPr>
            <w:r/>
            <w:bookmarkStart w:id="6" w:name="OLE_LINK15"/>
            <w:r/>
            <w:bookmarkStart w:id="7" w:name="OLE_LINK16"/>
            <w:r>
              <w:rPr>
                <w:rFonts w:hint="eastAsia" w:asciiTheme="minorEastAsia" w:hAnsiTheme="minorEastAsia" w:eastAsiaTheme="minorEastAsia"/>
                <w:sz w:val="24"/>
                <w:szCs w:val="24"/>
              </w:rPr>
              <w:t xml:space="preserve">本项目接受分公司投标，</w:t>
            </w:r>
            <w:r>
              <w:rPr>
                <w:rFonts w:hint="eastAsia" w:asciiTheme="minorEastAsia" w:hAnsiTheme="minorEastAsia" w:eastAsiaTheme="minorEastAsia"/>
                <w:sz w:val="24"/>
                <w:szCs w:val="24"/>
              </w:rPr>
              <w:t xml:space="preserve">法人和其分公司不得同时参加投标，否则视为无效投标；法人只能授权一家分公司前来投标，分公司投标时，须提供</w:t>
            </w:r>
            <w:r>
              <w:rPr>
                <w:rFonts w:hint="eastAsia" w:asciiTheme="minorEastAsia" w:hAnsiTheme="minorEastAsia" w:eastAsiaTheme="minorEastAsia"/>
                <w:iCs/>
                <w:sz w:val="24"/>
                <w:szCs w:val="24"/>
              </w:rPr>
              <w:t xml:space="preserve">法人授权函（</w:t>
            </w:r>
            <w:r>
              <w:rPr>
                <w:rFonts w:hint="eastAsia" w:asciiTheme="minorEastAsia" w:hAnsiTheme="minorEastAsia" w:eastAsiaTheme="minorEastAsia"/>
                <w:iCs/>
                <w:sz w:val="24"/>
                <w:szCs w:val="24"/>
              </w:rPr>
              <w:t xml:space="preserve">按招</w:t>
            </w:r>
            <w:r>
              <w:rPr>
                <w:rFonts w:hint="eastAsia" w:asciiTheme="minorEastAsia" w:hAnsiTheme="minorEastAsia" w:eastAsiaTheme="minorEastAsia"/>
                <w:sz w:val="24"/>
                <w:szCs w:val="24"/>
              </w:rPr>
              <w:t xml:space="preserve">标文件所附格式提供，原件扫描上传）</w:t>
            </w:r>
            <w:bookmarkEnd w:id="6"/>
            <w:r/>
            <w:bookmarkEnd w:id="7"/>
            <w:r/>
            <w:r/>
          </w:p>
        </w:tc>
      </w:tr>
    </w:tbl>
    <w:p>
      <w:pPr>
        <w:ind w:firstLine="480"/>
        <w:rPr>
          <w:rFonts w:asciiTheme="minorEastAsia" w:hAnsiTheme="minorEastAsia" w:eastAsiaTheme="minorEastAsia"/>
          <w:b/>
          <w:bCs/>
          <w:sz w:val="24"/>
          <w:szCs w:val="24"/>
        </w:rPr>
      </w:pPr>
      <w:r/>
      <w:bookmarkStart w:id="8" w:name="OLE_LINK13"/>
      <w:r/>
      <w:bookmarkStart w:id="9" w:name="OLE_LINK14"/>
      <w:r>
        <w:rPr>
          <w:rFonts w:hint="eastAsia" w:asciiTheme="minorEastAsia" w:hAnsiTheme="minorEastAsia" w:eastAsiaTheme="minorEastAsia"/>
          <w:b/>
          <w:bCs/>
          <w:sz w:val="24"/>
          <w:szCs w:val="24"/>
        </w:rPr>
        <w:t xml:space="preserve">拒绝下述投标人参加本次采购活动：</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（1）投标人单位负责人为同一人或者存在直接控股、管理关系的不同投标人，不得参加同一合同项下的政府采购活动。</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（2）凡为采购项目提供估算编制、概算编制、工程量清单编制、招标代理、监理、检测等服务的投标人，不得再参加本项目的其他采购活动。 </w:t>
      </w:r>
      <w:bookmarkEnd w:id="8"/>
      <w:r/>
      <w:bookmarkEnd w:id="9"/>
      <w:r/>
      <w:r/>
    </w:p>
    <w:p>
      <w:pPr>
        <w:ind w:firstLine="498"/>
        <w:spacing w:before="145" w:after="145"/>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三、获取招标文件</w:t>
      </w:r>
      <w:r/>
    </w:p>
    <w:p>
      <w:pPr>
        <w:ind w:firstLine="5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1.时间：自招标文件公告发布之日起5个工作日。</w:t>
      </w:r>
      <w:r/>
    </w:p>
    <w:p>
      <w:pPr>
        <w:ind w:firstLine="54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2025年 12 月 19 日 09点30 分</w:t>
      </w:r>
      <w:r>
        <w:rPr>
          <w:rFonts w:ascii="宋体" w:hAnsi="宋体" w:cs="宋体"/>
          <w:color w:val="000000"/>
          <w:sz w:val="24"/>
        </w:rPr>
        <w:t xml:space="preserve">（北京时间）</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2.地点：“苏</w:t>
      </w:r>
      <w:r>
        <w:rPr>
          <w:rFonts w:ascii="宋体" w:hAnsi="宋体" w:cs="宋体"/>
          <w:color w:val="000000"/>
          <w:sz w:val="24"/>
        </w:rPr>
        <w:t xml:space="preserve">采云</w:t>
      </w:r>
      <w:r>
        <w:rPr>
          <w:rFonts w:ascii="宋体" w:hAnsi="宋体" w:cs="宋体"/>
          <w:color w:val="000000"/>
          <w:sz w:val="24"/>
        </w:rPr>
        <w:t xml:space="preserve">”政府采购交易系统。</w:t>
      </w:r>
      <w:r/>
    </w:p>
    <w:p>
      <w:pPr>
        <w:ind w:firstLine="498"/>
        <w:spacing w:before="145" w:after="145"/>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五、公告期限</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六、其他补充事宜</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无</w:t>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七、本次招标联系方式</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扬州市财政投资评审中心</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扬州市</w:t>
      </w:r>
      <w:r>
        <w:rPr>
          <w:rFonts w:hint="eastAsia" w:ascii="宋体" w:hAnsi="宋体"/>
          <w:sz w:val="24"/>
          <w:szCs w:val="24"/>
          <w:u w:val="single"/>
        </w:rPr>
        <w:t xml:space="preserve">邗江区</w:t>
      </w:r>
      <w:r>
        <w:rPr>
          <w:rFonts w:hint="eastAsia" w:ascii="宋体" w:hAnsi="宋体"/>
          <w:sz w:val="24"/>
          <w:szCs w:val="24"/>
          <w:u w:val="single"/>
        </w:rPr>
        <w:t xml:space="preserve">扬子江北路471号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许玮琳</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10" w:name="_Toc28359009"/>
      <w:r/>
      <w:bookmarkStart w:id="11" w:name="_Toc28359086"/>
      <w:r>
        <w:rPr>
          <w:rFonts w:hint="eastAsia" w:ascii="宋体" w:hAnsi="宋体"/>
          <w:sz w:val="24"/>
          <w:szCs w:val="24"/>
          <w:u w:val="single"/>
        </w:rPr>
        <w:t xml:space="preserve">0514-87866510</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color w:val="000000" w:themeColor="text1"/>
          <w:sz w:val="24"/>
          <w:szCs w:val="24"/>
        </w:rPr>
        <w:t xml:space="preserve">扬州市公共资源交易中心</w:t>
      </w:r>
      <w:r>
        <w:rPr>
          <w:rFonts w:hint="eastAsia" w:ascii="宋体" w:hAnsi="宋体" w:cs="宋体"/>
          <w:sz w:val="24"/>
          <w:szCs w:val="24"/>
        </w:rPr>
        <w:t xml:space="preserve">信息</w:t>
      </w:r>
      <w:bookmarkEnd w:id="10"/>
      <w:r/>
      <w:bookmarkEnd w:id="11"/>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扬州市文昌东路9号市民中心1号楼5楼1530室</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章梦璐</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12" w:name="_Toc28359010"/>
      <w:r/>
      <w:bookmarkStart w:id="13" w:name="_Toc28359087"/>
      <w:r>
        <w:rPr>
          <w:rFonts w:hint="eastAsia" w:ascii="宋体" w:hAnsi="宋体"/>
          <w:sz w:val="24"/>
          <w:szCs w:val="24"/>
          <w:u w:val="single"/>
        </w:rPr>
        <w:t xml:space="preserve">0514-82087120</w:t>
      </w:r>
      <w:bookmarkEnd w:id="12"/>
      <w:r/>
      <w:bookmarkEnd w:id="13"/>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八、其他</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 根据省财政厅《关于更换全省政府采购交易系统CA数字证书和电子签章的通知》（</w:t>
      </w:r>
      <w:r>
        <w:rPr>
          <w:rFonts w:ascii="宋体" w:hAnsi="宋体" w:cs="宋体"/>
          <w:color w:val="000000"/>
          <w:sz w:val="24"/>
        </w:rPr>
        <w:t xml:space="preserve">苏财购〔2023〕</w:t>
      </w:r>
      <w:r>
        <w:rPr>
          <w:rFonts w:ascii="宋体" w:hAnsi="宋体" w:cs="宋体"/>
          <w:color w:val="000000"/>
          <w:sz w:val="24"/>
        </w:rPr>
        <w:t xml:space="preserve">101号），“苏</w:t>
      </w:r>
      <w:r>
        <w:rPr>
          <w:rFonts w:ascii="宋体" w:hAnsi="宋体" w:cs="宋体"/>
          <w:color w:val="000000"/>
          <w:sz w:val="24"/>
        </w:rPr>
        <w:t xml:space="preserve">采云</w:t>
      </w:r>
      <w:r>
        <w:rPr>
          <w:rFonts w:ascii="宋体" w:hAnsi="宋体" w:cs="宋体"/>
          <w:color w:val="000000"/>
          <w:sz w:val="24"/>
        </w:rPr>
        <w:t xml:space="preserve">”政府采购交易系统（以下简称苏</w:t>
      </w:r>
      <w:r>
        <w:rPr>
          <w:rFonts w:ascii="宋体" w:hAnsi="宋体" w:cs="宋体"/>
          <w:color w:val="000000"/>
          <w:sz w:val="24"/>
        </w:rPr>
        <w:t xml:space="preserve">采云</w:t>
      </w:r>
      <w:r>
        <w:rPr>
          <w:rFonts w:ascii="宋体" w:hAnsi="宋体" w:cs="宋体"/>
          <w:color w:val="000000"/>
          <w:sz w:val="24"/>
        </w:rPr>
        <w:t xml:space="preserve">系统）的CA数字证书、电子签章已更换为江苏省电子政务证书认证中心C A和方正国际软件（北京）有限公司电子签章。如果投标人通过苏</w:t>
      </w:r>
      <w:r>
        <w:rPr>
          <w:rFonts w:ascii="宋体" w:hAnsi="宋体" w:cs="宋体"/>
          <w:color w:val="000000"/>
          <w:sz w:val="24"/>
        </w:rPr>
        <w:t xml:space="preserve">采云</w:t>
      </w:r>
      <w:r>
        <w:rPr>
          <w:rFonts w:ascii="宋体" w:hAnsi="宋体" w:cs="宋体"/>
          <w:color w:val="000000"/>
          <w:sz w:val="24"/>
        </w:rPr>
        <w:t xml:space="preserve">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 本次招标不收取投标保证金。</w:t>
      </w:r>
      <w:r/>
    </w:p>
    <w:p>
      <w:pPr>
        <w:ind w:right="840"/>
        <w:pBdr>
          <w:top w:val="none" w:color="000000" w:sz="4" w:space="0"/>
          <w:left w:val="none" w:color="000000" w:sz="4" w:space="0"/>
          <w:bottom w:val="none" w:color="000000" w:sz="4" w:space="0"/>
          <w:right w:val="none" w:color="000000" w:sz="4" w:space="0"/>
        </w:pBdr>
      </w:pPr>
      <w:r>
        <w:br w:type="page" w:clear="all"/>
      </w:r>
      <w:r/>
    </w:p>
    <w:p>
      <w:pPr>
        <w:pStyle w:val="705"/>
        <w:spacing w:before="480" w:after="200"/>
        <w:rPr>
          <w:rFonts w:hint="eastAsia"/>
        </w:rPr>
        <w:pBdr>
          <w:top w:val="none" w:color="000000" w:sz="4" w:space="0"/>
          <w:left w:val="none" w:color="000000" w:sz="4" w:space="0"/>
          <w:bottom w:val="none" w:color="000000" w:sz="4" w:space="0"/>
          <w:right w:val="none" w:color="000000" w:sz="4" w:space="0"/>
        </w:pBdr>
      </w:pPr>
      <w:r>
        <w:rPr>
          <w:rFonts w:ascii="黑体" w:hAnsi="黑体" w:cs="黑体"/>
          <w:b/>
          <w:color w:val="000000"/>
        </w:rPr>
        <w:t xml:space="preserve">第二章 投标人须知</w:t>
      </w:r>
      <w:r/>
    </w:p>
    <w:p>
      <w:pPr>
        <w:ind w:firstLine="498"/>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一、总则</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1、招标方式</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2、合格的投标人</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 满足本文件实质性要求的规定。</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3、适用法律</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4、投标费用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二、招标文件</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6、招标文件构成</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 招标文件由以下部分组成：</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（1）投标邀请</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（2）投标人须知</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（3）合同文本</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（4）采购需求</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（5）评标方法与评标标准</w:t>
      </w:r>
      <w:r/>
    </w:p>
    <w:p>
      <w:pPr>
        <w:ind w:firstLine="36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（6）投标文件格式</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请仔细检查招标文件是否齐全，如有</w:t>
      </w:r>
      <w:r>
        <w:rPr>
          <w:rFonts w:ascii="宋体" w:hAnsi="宋体" w:cs="宋体"/>
          <w:color w:val="000000"/>
          <w:sz w:val="24"/>
        </w:rPr>
        <w:t xml:space="preserve">缺漏请</w:t>
      </w:r>
      <w:r>
        <w:rPr>
          <w:rFonts w:ascii="宋体" w:hAnsi="宋体" w:cs="宋体"/>
          <w:color w:val="000000"/>
          <w:sz w:val="24"/>
        </w:rPr>
        <w:t xml:space="preserve">立即与交易中心联系解决。</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rPr>
        <w:t xml:space="preserve">作出</w:t>
      </w:r>
      <w:r>
        <w:rPr>
          <w:rFonts w:ascii="宋体" w:hAnsi="宋体" w:cs="宋体"/>
          <w:color w:val="000000"/>
          <w:sz w:val="24"/>
        </w:rPr>
        <w:t xml:space="preserve">实质性响应，否则其风险由投标人自行承担。</w:t>
      </w:r>
      <w:r/>
    </w:p>
    <w:p>
      <w:pPr>
        <w:ind w:firstLine="560"/>
        <w:spacing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三、投标文件的编制</w:t>
      </w:r>
      <w:r/>
    </w:p>
    <w:p>
      <w:pPr>
        <w:ind w:firstLine="560"/>
        <w:spacing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 投标人需对招标文件中的技术要求与商务要求逐项</w:t>
      </w:r>
      <w:r>
        <w:rPr>
          <w:rFonts w:ascii="宋体" w:hAnsi="宋体" w:cs="宋体"/>
          <w:color w:val="000000"/>
          <w:sz w:val="24"/>
        </w:rPr>
        <w:t xml:space="preserve">作出</w:t>
      </w:r>
      <w:r>
        <w:rPr>
          <w:rFonts w:ascii="宋体" w:hAnsi="宋体" w:cs="宋体"/>
          <w:color w:val="000000"/>
          <w:sz w:val="24"/>
        </w:rPr>
        <w:t xml:space="preserve">响应或偏离，并说明原因。</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w:t>
      </w:r>
      <w:r>
        <w:rPr>
          <w:rFonts w:ascii="宋体" w:hAnsi="宋体" w:cs="宋体"/>
          <w:color w:val="000000"/>
          <w:sz w:val="24"/>
        </w:rPr>
        <w:t xml:space="preserve">价格为准</w:t>
      </w:r>
      <w:r>
        <w:rPr>
          <w:rFonts w:ascii="宋体" w:hAnsi="宋体" w:cs="宋体"/>
          <w:b/>
          <w:color w:val="000000"/>
          <w:sz w:val="24"/>
        </w:rPr>
        <w:t xml:space="preserve">。</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四、投标文件的递交</w:t>
      </w:r>
      <w:r/>
    </w:p>
    <w:p>
      <w:pPr>
        <w:ind w:firstLine="56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16.1 投标人应当按照《操作手册》规定，在投标截止时间</w:t>
      </w:r>
      <w:r>
        <w:rPr>
          <w:rFonts w:ascii="宋体" w:hAnsi="宋体" w:cs="宋体"/>
          <w:color w:val="000000"/>
          <w:sz w:val="24"/>
        </w:rPr>
        <w:t xml:space="preserve">前制作</w:t>
      </w:r>
      <w:r>
        <w:rPr>
          <w:rFonts w:ascii="宋体" w:hAnsi="宋体" w:cs="宋体"/>
          <w:color w:val="000000"/>
          <w:sz w:val="24"/>
        </w:rPr>
        <w:t xml:space="preserve">并上传电子投标文件。</w:t>
      </w:r>
      <w:r/>
    </w:p>
    <w:p>
      <w:pPr>
        <w:ind w:firstLine="420"/>
        <w:spacing w:before="240" w:after="240"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19.1 投标文件的撤回</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19.1.1 电子投标文件的撤回</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19.2 投标文件的修改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五、开标与评标</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20.1 交易中心将在招标公告中规定的时间和地点组织公开开标。投标人应当按照《操作手册》规定，参加开标活动和在苏</w:t>
      </w:r>
      <w:r>
        <w:rPr>
          <w:rFonts w:ascii="宋体" w:hAnsi="宋体" w:cs="宋体"/>
          <w:color w:val="000000"/>
          <w:sz w:val="24"/>
        </w:rPr>
        <w:t xml:space="preserve">采云</w:t>
      </w:r>
      <w:r>
        <w:rPr>
          <w:rFonts w:ascii="宋体" w:hAnsi="宋体" w:cs="宋体"/>
          <w:color w:val="000000"/>
          <w:sz w:val="24"/>
        </w:rPr>
        <w:t xml:space="preserve">系统规定的时间内对投标文件进行解密。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20.2开标仪式由交易中心组织。苏</w:t>
      </w:r>
      <w:r>
        <w:rPr>
          <w:rFonts w:ascii="宋体" w:hAnsi="宋体" w:cs="宋体"/>
          <w:color w:val="000000"/>
          <w:sz w:val="24"/>
        </w:rPr>
        <w:t xml:space="preserve">采云</w:t>
      </w:r>
      <w:r>
        <w:rPr>
          <w:rFonts w:ascii="宋体" w:hAnsi="宋体" w:cs="宋体"/>
          <w:color w:val="000000"/>
          <w:sz w:val="24"/>
        </w:rPr>
        <w:t xml:space="preserve">系统将自动对项目进行开标，并展示各投标人名称和投标价格。</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20.4投标人如果对开标过程和开标记录有疑义，应当根据《操作手册》规定提出，如苏</w:t>
      </w:r>
      <w:r>
        <w:rPr>
          <w:rFonts w:ascii="宋体" w:hAnsi="宋体" w:cs="宋体"/>
          <w:color w:val="000000"/>
          <w:sz w:val="24"/>
        </w:rPr>
        <w:t xml:space="preserve">采云</w:t>
      </w:r>
      <w:r>
        <w:rPr>
          <w:rFonts w:ascii="宋体" w:hAnsi="宋体" w:cs="宋体"/>
          <w:color w:val="000000"/>
          <w:sz w:val="24"/>
        </w:rPr>
        <w:t xml:space="preserve">系统中《开标记录表》宣布后5分钟内未提出的，视同认可开标结果。</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    21.2评委会由采购人代表和有关技术、经济等方面的专家组成，</w:t>
      </w:r>
      <w:r>
        <w:rPr>
          <w:rFonts w:ascii="宋体" w:hAnsi="宋体" w:cs="宋体"/>
          <w:color w:val="000000"/>
          <w:sz w:val="24"/>
          <w:szCs w:val="24"/>
        </w:rPr>
        <w:t xml:space="preserve">且人员</w:t>
      </w:r>
      <w:r>
        <w:rPr>
          <w:rFonts w:ascii="宋体" w:hAnsi="宋体" w:cs="宋体"/>
          <w:color w:val="000000"/>
          <w:sz w:val="24"/>
          <w:szCs w:val="24"/>
        </w:rPr>
        <w:t xml:space="preserve">构成符合政府采购有关规定。</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22.4 采用综合评分法的项目，未中标的投标人可于中标结果公告期限届满之日起通过苏</w:t>
      </w:r>
      <w:r>
        <w:rPr>
          <w:rFonts w:ascii="宋体" w:hAnsi="宋体" w:cs="宋体"/>
          <w:color w:val="000000"/>
          <w:sz w:val="24"/>
        </w:rPr>
        <w:t xml:space="preserve">采云</w:t>
      </w:r>
      <w:r>
        <w:rPr>
          <w:rFonts w:ascii="宋体" w:hAnsi="宋体" w:cs="宋体"/>
          <w:color w:val="000000"/>
          <w:sz w:val="24"/>
        </w:rPr>
        <w:t xml:space="preserve">系统查看自己的评审得分及排序情况。</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w:t>
      </w:r>
      <w:r>
        <w:rPr>
          <w:rFonts w:ascii="宋体" w:hAnsi="宋体" w:cs="宋体"/>
          <w:color w:val="000000"/>
          <w:sz w:val="24"/>
          <w:szCs w:val="24"/>
        </w:rPr>
        <w:t xml:space="preserve">作出</w:t>
      </w:r>
      <w:r>
        <w:rPr>
          <w:rFonts w:ascii="宋体" w:hAnsi="宋体" w:cs="宋体"/>
          <w:color w:val="000000"/>
          <w:sz w:val="24"/>
          <w:szCs w:val="24"/>
        </w:rPr>
        <w:t xml:space="preserve">必要的澄清、说明或者补正。</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23.2需要供应商进行澄清、说明和补正的，评委会将通过苏</w:t>
      </w:r>
      <w:r>
        <w:rPr>
          <w:rFonts w:ascii="宋体" w:hAnsi="宋体" w:cs="宋体"/>
          <w:color w:val="000000"/>
          <w:sz w:val="24"/>
          <w:szCs w:val="24"/>
        </w:rPr>
        <w:t xml:space="preserve">采云</w:t>
      </w:r>
      <w:r>
        <w:rPr>
          <w:rFonts w:ascii="宋体" w:hAnsi="宋体" w:cs="宋体"/>
          <w:color w:val="000000"/>
          <w:sz w:val="24"/>
          <w:szCs w:val="24"/>
        </w:rPr>
        <w:t xml:space="preserve">系统向供应商发出“澄清要求函”，接到“澄清要求函”的投标人应当按照要求在苏</w:t>
      </w:r>
      <w:r>
        <w:rPr>
          <w:rFonts w:ascii="宋体" w:hAnsi="宋体" w:cs="宋体"/>
          <w:color w:val="000000"/>
          <w:sz w:val="24"/>
          <w:szCs w:val="24"/>
        </w:rPr>
        <w:t xml:space="preserve">采云</w:t>
      </w:r>
      <w:r>
        <w:rPr>
          <w:rFonts w:ascii="宋体" w:hAnsi="宋体" w:cs="宋体"/>
          <w:color w:val="000000"/>
          <w:sz w:val="24"/>
          <w:szCs w:val="24"/>
        </w:rPr>
        <w:t xml:space="preserve">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w:t>
      </w:r>
      <w:r>
        <w:rPr>
          <w:rFonts w:ascii="宋体" w:hAnsi="宋体" w:cs="宋体"/>
          <w:color w:val="000000"/>
          <w:sz w:val="24"/>
        </w:rPr>
        <w:t xml:space="preserve">作出</w:t>
      </w:r>
      <w:r>
        <w:rPr>
          <w:rFonts w:ascii="宋体" w:hAnsi="宋体" w:cs="宋体"/>
          <w:color w:val="000000"/>
          <w:sz w:val="24"/>
        </w:rPr>
        <w:t xml:space="preserve">响应。</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24.1.3 未通过资格审查或符合性审查的投标人，交易中心将在苏</w:t>
      </w:r>
      <w:r>
        <w:rPr>
          <w:rFonts w:ascii="宋体" w:hAnsi="宋体" w:cs="宋体"/>
          <w:color w:val="000000"/>
          <w:sz w:val="24"/>
        </w:rPr>
        <w:t xml:space="preserve">采云</w:t>
      </w:r>
      <w:r>
        <w:rPr>
          <w:rFonts w:ascii="宋体" w:hAnsi="宋体" w:cs="宋体"/>
          <w:color w:val="000000"/>
          <w:sz w:val="24"/>
        </w:rPr>
        <w:t xml:space="preserve">系统中告知未通过资格审查或符合性审查的原因，评审结束后，交易中心将不再告知未通过资格审查或符合性审查的原因。</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rPr>
        <w:t xml:space="preserve">作出</w:t>
      </w:r>
      <w:r>
        <w:rPr>
          <w:rFonts w:ascii="宋体" w:hAnsi="宋体" w:cs="宋体"/>
          <w:color w:val="000000"/>
          <w:sz w:val="24"/>
        </w:rPr>
        <w:t xml:space="preserve">结论。评委会决定投标文件的</w:t>
      </w:r>
      <w:r>
        <w:rPr>
          <w:rFonts w:ascii="宋体" w:hAnsi="宋体" w:cs="宋体"/>
          <w:color w:val="000000"/>
          <w:sz w:val="24"/>
        </w:rPr>
        <w:t xml:space="preserve">响应性只根据</w:t>
      </w:r>
      <w:r>
        <w:rPr>
          <w:rFonts w:ascii="宋体" w:hAnsi="宋体" w:cs="宋体"/>
          <w:color w:val="000000"/>
          <w:sz w:val="24"/>
        </w:rPr>
        <w:t xml:space="preserve">投标文件本身的内容，而不寻求外部的证据。</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（1）投标文件中开标一览表内容与投标文件中相应内容不一致的，以开标一览</w:t>
      </w:r>
      <w:r>
        <w:rPr>
          <w:rFonts w:ascii="宋体" w:hAnsi="宋体" w:cs="宋体"/>
          <w:color w:val="000000"/>
          <w:sz w:val="24"/>
        </w:rPr>
        <w:t xml:space="preserve">表为准。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24.5 评委会将按上述修正错误的方法调整投标文件中的投标报价，并通过苏</w:t>
      </w:r>
      <w:r>
        <w:rPr>
          <w:rFonts w:ascii="宋体" w:hAnsi="宋体" w:cs="宋体"/>
          <w:color w:val="000000"/>
          <w:sz w:val="24"/>
        </w:rPr>
        <w:t xml:space="preserve">采云</w:t>
      </w:r>
      <w:r>
        <w:rPr>
          <w:rFonts w:ascii="宋体" w:hAnsi="宋体" w:cs="宋体"/>
          <w:color w:val="000000"/>
          <w:sz w:val="24"/>
        </w:rPr>
        <w:t xml:space="preserve">系统告知投标人，调整后的价格应对投标人具有约束力。如果投标人不接受修正后的价格，则其投标将被拒绝。</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24.6投标人在开、评标全过程中应保持通讯畅通，及时登录苏</w:t>
      </w:r>
      <w:r>
        <w:rPr>
          <w:rFonts w:ascii="宋体" w:hAnsi="宋体" w:cs="宋体"/>
          <w:color w:val="000000"/>
          <w:sz w:val="24"/>
        </w:rPr>
        <w:t xml:space="preserve">采云</w:t>
      </w:r>
      <w:r>
        <w:rPr>
          <w:rFonts w:ascii="宋体" w:hAnsi="宋体" w:cs="宋体"/>
          <w:color w:val="000000"/>
          <w:sz w:val="24"/>
        </w:rPr>
        <w:t xml:space="preserve">系统查阅、答复相关信息，并安排专人与交易中心及评委会联系。</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w:t>
      </w:r>
      <w:r>
        <w:rPr>
          <w:rFonts w:ascii="黑体" w:hAnsi="黑体" w:eastAsia="黑体" w:cs="黑体"/>
          <w:color w:val="000000"/>
          <w:sz w:val="28"/>
        </w:rPr>
        <w:t xml:space="preserve">和废标条款</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25.1无效投标条款</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25.1.1 投标人在苏</w:t>
      </w:r>
      <w:r>
        <w:rPr>
          <w:rFonts w:ascii="宋体" w:hAnsi="宋体" w:cs="宋体"/>
          <w:color w:val="000000"/>
          <w:sz w:val="24"/>
        </w:rPr>
        <w:t xml:space="preserve">采云</w:t>
      </w:r>
      <w:r>
        <w:rPr>
          <w:rFonts w:ascii="宋体" w:hAnsi="宋体" w:cs="宋体"/>
          <w:color w:val="000000"/>
          <w:sz w:val="24"/>
        </w:rPr>
        <w:t xml:space="preserve">系统规定的时间内未成功解密电子投标文件的。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25.1.6未通过符合性审查的。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w:t>
      </w:r>
      <w:r>
        <w:rPr>
          <w:rFonts w:ascii="宋体" w:hAnsi="宋体" w:cs="宋体"/>
          <w:color w:val="000000"/>
          <w:sz w:val="24"/>
        </w:rPr>
        <w:t xml:space="preserve">“</w:t>
      </w:r>
      <w:r>
        <w:rPr>
          <w:rFonts w:ascii="宋体" w:hAnsi="宋体" w:cs="宋体"/>
          <w:color w:val="000000"/>
          <w:sz w:val="24"/>
        </w:rPr>
        <w:t xml:space="preserve">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25.1.10 异常低价投标（响应）</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25.1.10.1投标（响应）报价低于采购项目预算 50% 的，即投标（响应）报价&lt;采购项目预算×50%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25.1.10.2投标（响应）报价低于采购项目最高限价 45% 的，即投标（响应）报价&lt;采购项目最高限价×45%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25.1.10.3评审委员会认定的供应商报价过低、有可能影响产品质量或者不能诚信履约的其他情形。</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25.1.10.4启动异常低价投标（响应）审查后，评审委员会应当要求相关供应商</w:t>
      </w:r>
      <w:r>
        <w:rPr>
          <w:rFonts w:ascii="宋体" w:hAnsi="宋体" w:cs="宋体"/>
          <w:color w:val="ff0000"/>
          <w:sz w:val="24"/>
        </w:rPr>
        <w:t xml:space="preserve">在评标现场合理的时间内，提供项目具体成本测算等与报价合理性相关的书面说明及相关证明材料，对投标（响应）价格</w:t>
      </w:r>
      <w:r>
        <w:rPr>
          <w:rFonts w:ascii="宋体" w:hAnsi="宋体" w:cs="宋体"/>
          <w:color w:val="ff0000"/>
          <w:sz w:val="24"/>
        </w:rPr>
        <w:t xml:space="preserve">作出</w:t>
      </w:r>
      <w:r>
        <w:rPr>
          <w:rFonts w:ascii="宋体" w:hAnsi="宋体" w:cs="宋体"/>
          <w:color w:val="ff0000"/>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w:t>
      </w:r>
      <w:r>
        <w:rPr>
          <w:rFonts w:ascii="宋体" w:hAnsi="宋体" w:cs="宋体"/>
          <w:color w:val="000000"/>
          <w:sz w:val="24"/>
        </w:rPr>
        <w:t xml:space="preserve">废标条款</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25.2.3因重大变故，采购任务取消的。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25.2.5 因苏</w:t>
      </w:r>
      <w:r>
        <w:rPr>
          <w:rFonts w:ascii="宋体" w:hAnsi="宋体" w:cs="宋体"/>
          <w:color w:val="000000"/>
          <w:sz w:val="24"/>
        </w:rPr>
        <w:t xml:space="preserve">采云</w:t>
      </w:r>
      <w:r>
        <w:rPr>
          <w:rFonts w:ascii="宋体" w:hAnsi="宋体" w:cs="宋体"/>
          <w:color w:val="000000"/>
          <w:sz w:val="24"/>
        </w:rPr>
        <w:t xml:space="preserve">系统系统故障原因造成开标不成功的。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六、定标</w:t>
      </w:r>
      <w:r/>
    </w:p>
    <w:p>
      <w:pPr>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   26、确定中标单位</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  若有充分证据证明，中标供应</w:t>
      </w:r>
      <w:r>
        <w:rPr>
          <w:rFonts w:ascii="宋体" w:hAnsi="宋体" w:cs="宋体"/>
          <w:color w:val="000000"/>
          <w:sz w:val="24"/>
        </w:rPr>
        <w:t xml:space="preserve">商出现</w:t>
      </w:r>
      <w:r>
        <w:rPr>
          <w:rFonts w:ascii="宋体" w:hAnsi="宋体" w:cs="宋体"/>
          <w:color w:val="000000"/>
          <w:sz w:val="24"/>
        </w:rPr>
        <w:t xml:space="preserve">下列情况之一的，一经查实，将被取消中标资格：</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26.4.1提供虚假材料谋取中标的。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4" w:space="0"/>
          <w:left w:val="none" w:color="000000" w:sz="4" w:space="0"/>
          <w:bottom w:val="none" w:color="000000" w:sz="4" w:space="0"/>
          <w:right w:val="none" w:color="000000" w:sz="4" w:space="0"/>
        </w:pBdr>
      </w:pPr>
      <w:r/>
      <w:r/>
    </w:p>
    <w:p>
      <w:pPr>
        <w:ind w:firstLine="480"/>
        <w:spacing w:line="400" w:lineRule="atLeast"/>
        <w:pBdr>
          <w:top w:val="none" w:color="000000" w:sz="4" w:space="0"/>
          <w:left w:val="none" w:color="000000" w:sz="4" w:space="0"/>
          <w:bottom w:val="none" w:color="000000" w:sz="4" w:space="0"/>
          <w:right w:val="none" w:color="000000" w:sz="4" w:space="0"/>
        </w:pBdr>
      </w:pPr>
      <w:r/>
      <w:r/>
    </w:p>
    <w:p>
      <w:pPr>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   27、质疑处理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27.1 提出质疑的供应商应当是参与所质疑项目采购活动的供应商。潜在供应</w:t>
      </w:r>
      <w:r>
        <w:rPr>
          <w:rFonts w:ascii="宋体" w:hAnsi="宋体" w:cs="宋体"/>
          <w:color w:val="000000"/>
          <w:sz w:val="24"/>
        </w:rPr>
        <w:t xml:space="preserve">商依法</w:t>
      </w:r>
      <w:r>
        <w:rPr>
          <w:rFonts w:ascii="宋体" w:hAnsi="宋体" w:cs="宋体"/>
          <w:color w:val="000000"/>
          <w:sz w:val="24"/>
        </w:rPr>
        <w:t xml:space="preserve">获取其可质疑的采购文件的，可以对采购文件提出质疑。</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w:t>
      </w:r>
      <w:r>
        <w:rPr>
          <w:rFonts w:ascii="宋体" w:hAnsi="宋体" w:cs="宋体"/>
          <w:color w:val="000000"/>
          <w:sz w:val="24"/>
        </w:rPr>
        <w:t xml:space="preserve">作出</w:t>
      </w:r>
      <w:r>
        <w:rPr>
          <w:rFonts w:ascii="宋体" w:hAnsi="宋体" w:cs="宋体"/>
          <w:color w:val="000000"/>
          <w:sz w:val="24"/>
        </w:rPr>
        <w:t xml:space="preserve">答复。</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27.3质疑</w:t>
      </w:r>
      <w:r>
        <w:rPr>
          <w:rFonts w:ascii="宋体" w:hAnsi="宋体" w:cs="宋体"/>
          <w:color w:val="000000"/>
          <w:sz w:val="24"/>
        </w:rPr>
        <w:t xml:space="preserve">函必须</w:t>
      </w:r>
      <w:r>
        <w:rPr>
          <w:rFonts w:ascii="宋体" w:hAnsi="宋体" w:cs="宋体"/>
          <w:color w:val="000000"/>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hint="eastAsia"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27.4供应商（含潜在供应商）对</w:t>
      </w:r>
      <w:r>
        <w:rPr>
          <w:rFonts w:ascii="宋体" w:hAnsi="宋体" w:cs="宋体"/>
          <w:color w:val="000000"/>
          <w:sz w:val="24"/>
        </w:rPr>
        <w:t xml:space="preserve">与本项目有关的所有询问、质疑均</w:t>
      </w:r>
      <w:r>
        <w:rPr>
          <w:rFonts w:ascii="宋体" w:hAnsi="宋体" w:cs="宋体"/>
          <w:color w:val="000000"/>
          <w:sz w:val="24"/>
        </w:rPr>
        <w:t xml:space="preserve">请向采购人提出，由采购人负责答复。</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w:t>
      </w:r>
      <w:r>
        <w:rPr>
          <w:rFonts w:ascii="宋体" w:hAnsi="宋体" w:cs="宋体"/>
          <w:color w:val="000000"/>
          <w:sz w:val="24"/>
        </w:rPr>
        <w:t xml:space="preserve">运单号</w:t>
      </w:r>
      <w:r>
        <w:rPr>
          <w:rFonts w:ascii="宋体" w:hAnsi="宋体" w:cs="宋体"/>
          <w:color w:val="000000"/>
          <w:sz w:val="24"/>
        </w:rPr>
        <w:t xml:space="preserve">的快递）。</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 以下情形的质疑不予受理</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27.5.2 超出政府采购法定期限的质疑。</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28、中标通知书</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w:t>
      </w:r>
      <w:r>
        <w:rPr>
          <w:rFonts w:ascii="宋体" w:hAnsi="宋体" w:cs="宋体"/>
          <w:color w:val="000000"/>
          <w:sz w:val="24"/>
        </w:rPr>
        <w:t xml:space="preserve">采云</w:t>
      </w:r>
      <w:r>
        <w:rPr>
          <w:rFonts w:ascii="宋体" w:hAnsi="宋体" w:cs="宋体"/>
          <w:color w:val="000000"/>
          <w:sz w:val="24"/>
        </w:rPr>
        <w:t xml:space="preserve">系统及时下载中标通知书。因系统存储空间有限，自中标结果公告届满之日起30日后，苏</w:t>
      </w:r>
      <w:r>
        <w:rPr>
          <w:rFonts w:ascii="宋体" w:hAnsi="宋体" w:cs="宋体"/>
          <w:color w:val="000000"/>
          <w:sz w:val="24"/>
        </w:rPr>
        <w:t xml:space="preserve">采云</w:t>
      </w:r>
      <w:r>
        <w:rPr>
          <w:rFonts w:ascii="宋体" w:hAnsi="宋体" w:cs="宋体"/>
          <w:color w:val="000000"/>
          <w:sz w:val="24"/>
        </w:rPr>
        <w:t xml:space="preserve">系统不再保证提供下载中标通知书服务,因未及时下载而造成的不利后果由中标供应商自行承担。</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七、授予合同</w:t>
      </w:r>
      <w:r/>
    </w:p>
    <w:p>
      <w:pPr>
        <w:ind w:firstLine="60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29、签订合同</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Style w:val="705"/>
        <w:spacing w:before="480" w:after="200"/>
        <w:rPr>
          <w:rFonts w:hint="eastAsia"/>
        </w:rPr>
        <w:pBdr>
          <w:top w:val="none" w:color="000000" w:sz="4" w:space="0"/>
          <w:left w:val="none" w:color="000000" w:sz="4" w:space="0"/>
          <w:bottom w:val="none" w:color="000000" w:sz="4" w:space="0"/>
          <w:right w:val="none" w:color="000000" w:sz="4" w:space="0"/>
        </w:pBdr>
      </w:pPr>
      <w:r>
        <w:rPr>
          <w:rFonts w:ascii="黑体" w:hAnsi="黑体" w:cs="黑体"/>
          <w:b/>
          <w:color w:val="000000"/>
        </w:rPr>
        <w:t xml:space="preserve">第三章 合同文本</w:t>
      </w:r>
      <w:r/>
    </w:p>
    <w:p>
      <w:pPr>
        <w:jc w:val="center"/>
        <w:spacing w:before="145" w:after="145"/>
        <w:pBdr>
          <w:top w:val="none" w:color="000000" w:sz="4" w:space="0"/>
          <w:left w:val="none" w:color="000000" w:sz="4" w:space="0"/>
          <w:bottom w:val="none" w:color="000000" w:sz="4" w:space="0"/>
          <w:right w:val="none" w:color="000000" w:sz="4" w:space="0"/>
        </w:pBdr>
      </w:pPr>
      <w:r>
        <w:rPr>
          <w:rFonts w:ascii="宋体" w:hAnsi="宋体" w:cs="宋体"/>
          <w:b/>
          <w:color w:val="000000"/>
          <w:sz w:val="30"/>
        </w:rPr>
        <w:t xml:space="preserve">江苏省政府采购合同（服务）（合同编号）</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                   </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项目编号：*****             </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甲方：（买方/采购人）_________</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乙方：（卖方/中标供应商）_________</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一、合同内容</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标的名称：</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1.2标的质量：</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 标的数量（规模）：</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 履行时间（期限）：</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 履行地点：</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 履行方式：</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二、合同金额</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三、技术资料</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w:t>
      </w:r>
      <w:r>
        <w:rPr>
          <w:rFonts w:ascii="宋体" w:hAnsi="宋体" w:cs="宋体"/>
          <w:color w:val="000000"/>
          <w:sz w:val="24"/>
        </w:rPr>
        <w:t xml:space="preserve">向履行</w:t>
      </w:r>
      <w:r>
        <w:rPr>
          <w:rFonts w:ascii="宋体" w:hAnsi="宋体" w:cs="宋体"/>
          <w:color w:val="000000"/>
          <w:sz w:val="24"/>
        </w:rPr>
        <w:t xml:space="preserve">本合同有关的人员提供，也应注意保密并限于履行合同的必需范围。</w:t>
      </w:r>
      <w:r/>
    </w:p>
    <w:p>
      <w:pPr>
        <w:ind w:left="412" w:hanging="412"/>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四、知识产权</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五、产权担保</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 乙方保证所交付的服务（包含与服务相关的货物）的所有权完全属于</w:t>
      </w:r>
      <w:r>
        <w:rPr>
          <w:rFonts w:ascii="宋体" w:hAnsi="宋体" w:cs="宋体"/>
          <w:color w:val="000000"/>
          <w:sz w:val="24"/>
        </w:rPr>
        <w:t xml:space="preserve">乙方且</w:t>
      </w:r>
      <w:r>
        <w:rPr>
          <w:rFonts w:ascii="宋体" w:hAnsi="宋体" w:cs="宋体"/>
          <w:color w:val="000000"/>
          <w:sz w:val="24"/>
        </w:rPr>
        <w:t xml:space="preserve">无任何抵押、查封等产权瑕疵。</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六、履约保证金</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w:t>
      </w:r>
      <w:r>
        <w:rPr>
          <w:rFonts w:ascii="宋体" w:hAnsi="宋体" w:cs="宋体"/>
          <w:color w:val="000000"/>
          <w:sz w:val="24"/>
        </w:rPr>
        <w:t xml:space="preserve">的10%）</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6.2合同履行结束后，甲方应及时退还交纳的履约保证金。</w:t>
      </w:r>
      <w:r/>
    </w:p>
    <w:p>
      <w:pPr>
        <w:ind w:left="408" w:hanging="408"/>
        <w:spacing w:before="120" w:after="120"/>
        <w:rPr>
          <w:rFonts w:ascii="宋体" w:hAnsi="宋体" w:cs="宋体"/>
          <w:color w:val="0000ff"/>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七、合同转包或分包</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7.1乙方不得将合同标的转包给他人履行。</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7.2乙方不得将合同标的分包给他人履行。</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八、合同款项支付</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8.1合同款项的支付方式及进度安排</w:t>
      </w:r>
      <w:r/>
    </w:p>
    <w:p>
      <w:pPr>
        <w:spacing w:before="120" w:after="120"/>
        <w:rPr>
          <w:rFonts w:ascii="宋体" w:hAnsi="宋体" w:cs="宋体"/>
          <w:color w:val="000000"/>
          <w:sz w:val="24"/>
          <w:u w:val="single"/>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8.1.1 预付款支付时间：</w:t>
      </w:r>
      <w:r>
        <w:rPr>
          <w:rFonts w:hint="eastAsia" w:ascii="宋体" w:hAnsi="宋体" w:cs="宋体"/>
          <w:color w:val="000000"/>
          <w:sz w:val="24"/>
          <w:u w:val="single"/>
        </w:rPr>
        <w:t xml:space="preserve">合同签订后，乙方向甲方开具发票，甲方自收到发票之日起10个工作日内支付乙方合同总价30%的预付款。</w:t>
      </w:r>
      <w:r/>
    </w:p>
    <w:p>
      <w:pPr>
        <w:spacing w:before="120" w:after="120"/>
        <w:rPr>
          <w:rFonts w:ascii="宋体" w:hAnsi="宋体" w:cs="宋体"/>
          <w:color w:val="000000"/>
          <w:sz w:val="24"/>
          <w:u w:val="single"/>
        </w:rPr>
        <w:pBdr>
          <w:top w:val="none" w:color="000000" w:sz="4" w:space="0"/>
          <w:left w:val="none" w:color="000000" w:sz="4" w:space="0"/>
          <w:bottom w:val="none" w:color="000000" w:sz="4" w:space="0"/>
          <w:right w:val="none" w:color="000000" w:sz="4" w:space="0"/>
        </w:pBdr>
      </w:pPr>
      <w:r>
        <w:rPr>
          <w:rFonts w:ascii="宋体" w:hAnsi="宋体" w:cs="宋体"/>
          <w:color w:val="000000"/>
          <w:sz w:val="24"/>
          <w:u w:val="single"/>
        </w:rPr>
        <w:t xml:space="preserve">8.1.2 尾款支付时间：</w:t>
      </w:r>
      <w:r>
        <w:rPr>
          <w:rFonts w:hint="eastAsia" w:ascii="宋体" w:hAnsi="宋体" w:cs="宋体"/>
          <w:color w:val="000000"/>
          <w:sz w:val="24"/>
          <w:u w:val="single"/>
        </w:rPr>
        <w:t xml:space="preserve">乙方完成50%工作量并经审核后，乙方向甲方开具发票，甲方自收到发票之日起10个工作日内按实际完成工作量的70%支付合同款、乙方按合同要求交付所有审核报告并经审核后，乙方向甲方开具发票，甲方自收到发票之日起10个工作日内支付至合同金额的80%。工程结算审核工作完成并经审核后，乙方向甲方开具发票，甲方自收到发票之日起10个工作日内支付剩余合同款，其中工程结算审核结果</w:t>
      </w:r>
      <w:r>
        <w:rPr>
          <w:rFonts w:hint="eastAsia" w:ascii="宋体" w:hAnsi="宋体" w:cs="宋体"/>
          <w:color w:val="000000"/>
          <w:sz w:val="24"/>
          <w:u w:val="single"/>
        </w:rPr>
        <w:t xml:space="preserve">较初步</w:t>
      </w:r>
      <w:r>
        <w:rPr>
          <w:rFonts w:hint="eastAsia" w:ascii="宋体" w:hAnsi="宋体" w:cs="宋体"/>
          <w:color w:val="000000"/>
          <w:sz w:val="24"/>
          <w:u w:val="single"/>
        </w:rPr>
        <w:t xml:space="preserve">核对结果核减率不超过2.5%的，支付所有剩余合同款；核减率超过2.5%的，扣除合同款10%后支付，核减率超过5%的，扣除全部剩余合同款。</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九、税费</w:t>
      </w:r>
      <w:r/>
    </w:p>
    <w:p>
      <w:pPr>
        <w:spacing w:before="145" w:after="145"/>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9.1本合同执行中相关的一切税费均由乙方负担。</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十、项目验收</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10.1甲方依法组织履约验收工作。</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10.4如有必要，甲方邀请参加本项目的其他供应商或第三</w:t>
      </w:r>
      <w:r>
        <w:rPr>
          <w:rFonts w:ascii="宋体" w:hAnsi="宋体" w:cs="宋体"/>
          <w:color w:val="000000"/>
          <w:sz w:val="24"/>
        </w:rPr>
        <w:t xml:space="preserve">方专业</w:t>
      </w:r>
      <w:r>
        <w:rPr>
          <w:rFonts w:ascii="宋体" w:hAnsi="宋体" w:cs="宋体"/>
          <w:color w:val="000000"/>
          <w:sz w:val="24"/>
        </w:rPr>
        <w:t xml:space="preserve">机构及专家参与验收，相关意见将作为</w:t>
      </w:r>
      <w:r>
        <w:rPr>
          <w:rFonts w:ascii="宋体" w:hAnsi="宋体" w:cs="宋体"/>
          <w:color w:val="000000"/>
          <w:sz w:val="24"/>
        </w:rPr>
        <w:t xml:space="preserve">验收书</w:t>
      </w:r>
      <w:r>
        <w:rPr>
          <w:rFonts w:ascii="宋体" w:hAnsi="宋体" w:cs="宋体"/>
          <w:color w:val="000000"/>
          <w:sz w:val="24"/>
        </w:rPr>
        <w:t xml:space="preserve">的参考资料。</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w:t>
      </w:r>
      <w:r>
        <w:rPr>
          <w:rFonts w:ascii="宋体" w:hAnsi="宋体" w:cs="宋体"/>
          <w:color w:val="000000"/>
          <w:sz w:val="24"/>
        </w:rPr>
        <w:t xml:space="preserve">验收结束后,验收小组出具</w:t>
      </w:r>
      <w:r>
        <w:rPr>
          <w:rFonts w:ascii="宋体" w:hAnsi="宋体" w:cs="宋体"/>
          <w:color w:val="000000"/>
          <w:sz w:val="24"/>
        </w:rPr>
        <w:t xml:space="preserve">验收书</w:t>
      </w:r>
      <w:r>
        <w:rPr>
          <w:rFonts w:ascii="宋体" w:hAnsi="宋体" w:cs="宋体"/>
          <w:color w:val="000000"/>
          <w:sz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十一、违约责任</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十二、不可抗力事件处理</w:t>
      </w:r>
      <w:r/>
    </w:p>
    <w:p>
      <w:pPr>
        <w:ind w:left="480" w:hanging="480"/>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十三、解决争议的方法</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十四、合同生效及其它</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r>
      <w:r/>
    </w:p>
    <w:p>
      <w:pPr>
        <w:spacing w:before="120" w:after="120"/>
        <w:pBdr>
          <w:top w:val="none" w:color="000000" w:sz="4" w:space="0"/>
          <w:left w:val="none" w:color="000000" w:sz="4" w:space="0"/>
          <w:bottom w:val="none" w:color="000000" w:sz="4" w:space="0"/>
          <w:right w:val="none" w:color="000000" w:sz="4" w:space="0"/>
        </w:pBdr>
      </w:pPr>
      <w:r/>
      <w:r/>
    </w:p>
    <w:tbl>
      <w:tblPr>
        <w:tblStyle w:val="742"/>
        <w:tblW w:w="0" w:type="auto"/>
        <w:jc w:val="cente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联系电话：</w:t>
            </w:r>
            <w:r/>
          </w:p>
        </w:tc>
      </w:tr>
    </w:tbl>
    <w:p>
      <w:pPr>
        <w:jc w:val="cente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jc w:val="right"/>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before="120" w:after="1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05"/>
        <w:spacing w:before="480" w:after="200"/>
        <w:rPr>
          <w:rFonts w:hint="eastAsia"/>
        </w:rPr>
        <w:pBdr>
          <w:top w:val="none" w:color="000000" w:sz="4" w:space="0"/>
          <w:left w:val="none" w:color="000000" w:sz="4" w:space="0"/>
          <w:bottom w:val="none" w:color="000000" w:sz="4" w:space="0"/>
          <w:right w:val="none" w:color="000000" w:sz="4" w:space="0"/>
        </w:pBdr>
      </w:pPr>
      <w:r>
        <w:rPr>
          <w:rFonts w:ascii="黑体" w:hAnsi="黑体" w:cs="黑体"/>
          <w:b/>
          <w:color w:val="000000"/>
        </w:rPr>
        <w:t xml:space="preserve">第四章 采购需求</w:t>
      </w:r>
      <w:r/>
    </w:p>
    <w:p>
      <w:pPr>
        <w:ind w:left="495" w:hanging="49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一、项目属性:服务类项目</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w:t>
      </w:r>
      <w:r>
        <w:rPr>
          <w:rFonts w:ascii="宋体" w:hAnsi="宋体" w:cs="宋体"/>
          <w:color w:val="000000"/>
          <w:sz w:val="24"/>
        </w:rPr>
        <w:t xml:space="preserve">国家发改委</w:t>
      </w:r>
      <w:r>
        <w:rPr>
          <w:rFonts w:ascii="宋体" w:hAnsi="宋体" w:cs="宋体"/>
          <w:color w:val="000000"/>
          <w:sz w:val="24"/>
        </w:rPr>
        <w:t xml:space="preserve">、生态环境部等列入“节能产品政府采购品目清单”强制采购范围，投标文件中必须提供国家确定的认证机构出具的、处于有效期之内的该节能产品认证证书。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rPr>
        <w:t xml:space="preserve">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eastAsia="Times New Roman"/>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ind w:firstLine="480"/>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w:t>
      </w:r>
      <w:r>
        <w:rPr>
          <w:rFonts w:ascii="宋体" w:hAnsi="宋体" w:cs="宋体"/>
          <w:color w:val="000000"/>
          <w:sz w:val="24"/>
        </w:rPr>
        <w:t xml:space="preserve">《</w:t>
      </w:r>
      <w:r>
        <w:rPr>
          <w:rFonts w:ascii="宋体" w:hAnsi="宋体" w:cs="宋体"/>
          <w:color w:val="000000"/>
          <w:sz w:val="24"/>
        </w:rPr>
        <w:t xml:space="preserve">关于印发</w:t>
      </w:r>
      <w:r>
        <w:rPr>
          <w:rFonts w:ascii="宋体" w:hAnsi="宋体" w:cs="宋体"/>
          <w:color w:val="000000"/>
          <w:sz w:val="24"/>
        </w:rPr>
        <w:t xml:space="preserve">《</w:t>
      </w:r>
      <w:r>
        <w:rPr>
          <w:rFonts w:ascii="宋体" w:hAnsi="宋体" w:cs="宋体"/>
          <w:color w:val="000000"/>
          <w:sz w:val="24"/>
        </w:rPr>
        <w:t xml:space="preserve">商品包装政府采购需求标准（试行）》、《快递包装政府采购需求标准（试行）》的通知》”执行。</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3.采购标的清单</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59"/>
        <w:gridCol w:w="4034"/>
        <w:gridCol w:w="38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扬州市财政投资评审中心江平东路东延工程</w:t>
            </w:r>
            <w:r>
              <w:rPr>
                <w:rFonts w:hint="eastAsia" w:ascii="宋体" w:hAnsi="宋体" w:cs="宋体"/>
                <w:color w:val="000000"/>
                <w:sz w:val="24"/>
              </w:rPr>
              <w:t xml:space="preserve">非涉铁段</w:t>
            </w:r>
            <w:r>
              <w:rPr>
                <w:rFonts w:hint="eastAsia" w:ascii="宋体" w:hAnsi="宋体" w:cs="宋体"/>
                <w:color w:val="000000"/>
                <w:sz w:val="24"/>
              </w:rPr>
              <w:t xml:space="preserve">二期1标跟踪审核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hint="eastAsia" w:asciiTheme="minorEastAsia" w:hAnsiTheme="minorEastAsia" w:eastAsiaTheme="minorEastAsia"/>
                <w:color w:val="000000" w:themeColor="text1"/>
                <w:sz w:val="24"/>
                <w:szCs w:val="24"/>
              </w:rPr>
              <w:t xml:space="preserve">租赁和商务服务业</w:t>
            </w:r>
            <w:r>
              <w:rPr>
                <w:rFonts w:hint="eastAsia" w:ascii="宋体" w:hAnsi="宋体" w:cs="宋体"/>
                <w:color w:val="000000" w:themeColor="text1"/>
                <w:sz w:val="24"/>
              </w:rPr>
              <w:t xml:space="preserve"> </w:t>
            </w:r>
            <w:r/>
          </w:p>
        </w:tc>
      </w:tr>
    </w:tbl>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二、技术要求</w:t>
      </w:r>
      <w:r/>
    </w:p>
    <w:p>
      <w:pPr>
        <w:ind w:firstLine="480"/>
        <w:spacing w:line="360" w:lineRule="auto"/>
        <w:rPr>
          <w:rFonts w:asciiTheme="minorEastAsia" w:hAnsiTheme="minorEastAsia" w:eastAsiaTheme="minorEastAsia"/>
          <w:b/>
          <w:bCs/>
          <w:iCs/>
          <w:color w:val="000000" w:themeColor="text1"/>
          <w:sz w:val="24"/>
          <w:szCs w:val="24"/>
        </w:rPr>
      </w:pPr>
      <w:r>
        <w:rPr>
          <w:rFonts w:eastAsia="Times New Roman"/>
          <w:color w:val="000000" w:themeColor="text1"/>
          <w:sz w:val="24"/>
        </w:rPr>
        <w:t xml:space="preserve"> </w:t>
      </w:r>
      <w:r>
        <w:rPr>
          <w:rFonts w:hint="eastAsia" w:asciiTheme="minorEastAsia" w:hAnsiTheme="minorEastAsia" w:eastAsiaTheme="minorEastAsia"/>
          <w:b/>
          <w:bCs/>
          <w:iCs/>
          <w:color w:val="000000" w:themeColor="text1"/>
          <w:sz w:val="24"/>
          <w:szCs w:val="24"/>
        </w:rPr>
        <w:t xml:space="preserve">1、项目概况</w:t>
      </w:r>
      <w:r/>
    </w:p>
    <w:p>
      <w:pPr>
        <w:ind w:firstLine="480"/>
        <w:spacing w:line="360" w:lineRule="auto"/>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为了强化监督，严</w:t>
      </w:r>
      <w:r>
        <w:rPr>
          <w:rFonts w:hint="eastAsia" w:cs="宋体" w:asciiTheme="minorEastAsia" w:hAnsiTheme="minorEastAsia" w:eastAsiaTheme="minorEastAsia"/>
          <w:color w:val="000000" w:themeColor="text1"/>
          <w:sz w:val="24"/>
          <w:szCs w:val="24"/>
        </w:rPr>
        <w:t xml:space="preserve">格控制工程造价，扬州市财政投资评审中心通过公开招标，选择工程造价咨询单位对</w:t>
      </w:r>
      <w:r>
        <w:rPr>
          <w:rFonts w:hint="eastAsia" w:ascii="宋体" w:hAnsi="宋体" w:cs="宋体"/>
          <w:color w:val="000000" w:themeColor="text1"/>
          <w:sz w:val="24"/>
          <w:lang w:val="en"/>
        </w:rPr>
        <w:t xml:space="preserve">江平东路东延工程</w:t>
      </w:r>
      <w:r>
        <w:rPr>
          <w:rFonts w:hint="eastAsia" w:ascii="宋体" w:hAnsi="宋体" w:cs="宋体"/>
          <w:color w:val="000000" w:themeColor="text1"/>
          <w:sz w:val="24"/>
          <w:lang w:val="en"/>
        </w:rPr>
        <w:t xml:space="preserve">非涉铁段</w:t>
      </w:r>
      <w:r>
        <w:rPr>
          <w:rFonts w:hint="eastAsia" w:ascii="宋体" w:hAnsi="宋体" w:cs="宋体"/>
          <w:color w:val="000000" w:themeColor="text1"/>
          <w:sz w:val="24"/>
          <w:lang w:val="en"/>
        </w:rPr>
        <w:t xml:space="preserve">二期1标</w:t>
      </w:r>
      <w:r>
        <w:rPr>
          <w:rFonts w:hint="eastAsia" w:cs="宋体" w:asciiTheme="minorEastAsia" w:hAnsiTheme="minorEastAsia" w:eastAsiaTheme="minorEastAsia"/>
          <w:color w:val="000000" w:themeColor="text1"/>
          <w:sz w:val="24"/>
          <w:szCs w:val="24"/>
        </w:rPr>
        <w:t xml:space="preserve">进行全过程跟踪审核。</w:t>
      </w:r>
      <w:r/>
    </w:p>
    <w:p>
      <w:pPr>
        <w:ind w:firstLine="480"/>
        <w:spacing w:line="312" w:lineRule="auto"/>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根据市政府2023年第30期《关于北沿江高铁东站综合交通枢纽</w:t>
      </w:r>
      <w:r>
        <w:rPr>
          <w:rFonts w:hint="eastAsia" w:cs="宋体" w:asciiTheme="minorEastAsia" w:hAnsiTheme="minorEastAsia" w:eastAsiaTheme="minorEastAsia"/>
          <w:color w:val="000000" w:themeColor="text1"/>
          <w:sz w:val="24"/>
          <w:szCs w:val="24"/>
        </w:rPr>
        <w:t xml:space="preserve">配套项目建设》专题会议纪要以及《市政府办公室关于印发2023年市级重大项目清单的通知》要求，渝蓉（北沿江）高铁扬州东站综合交通枢纽一体化工程的建设工作由集中建设单位交投集团负责实施。建设的主要目标在于完善城市功能，提升城市形象，增强城市竞争力，同时为广大市民提供更加便利、舒适的交通出行环境，着力打造一个集铁路、公交、出租、网约、社会于一体的现代化交通枢纽。项目建设地点位于生态科技新城，建设范围北至万福路，南至文昌东路两侧，东至烟花三月路，西至廖家沟，用地面积约29.4公顷。主要建设内容为：市政配套预埋工程。</w:t>
      </w:r>
      <w:r>
        <w:rPr>
          <w:rFonts w:hint="eastAsia" w:asciiTheme="minorEastAsia" w:hAnsiTheme="minorEastAsia" w:eastAsiaTheme="minorEastAsia"/>
          <w:color w:val="000000" w:themeColor="text1"/>
          <w:sz w:val="24"/>
          <w:szCs w:val="24"/>
        </w:rPr>
        <w:t xml:space="preserve">经评审，该项目概算为</w:t>
      </w:r>
      <w:r>
        <w:rPr>
          <w:rFonts w:hint="eastAsia" w:asciiTheme="minorEastAsia" w:hAnsiTheme="minorEastAsia" w:eastAsiaTheme="minorEastAsia"/>
          <w:color w:val="000000" w:themeColor="text1"/>
          <w:sz w:val="24"/>
          <w:szCs w:val="24"/>
          <w:lang w:val="en"/>
        </w:rPr>
        <w:t xml:space="preserve">75768.14</w:t>
      </w:r>
      <w:r>
        <w:rPr>
          <w:rFonts w:hint="eastAsia" w:asciiTheme="minorEastAsia" w:hAnsiTheme="minorEastAsia" w:eastAsiaTheme="minorEastAsia"/>
          <w:color w:val="000000" w:themeColor="text1"/>
          <w:sz w:val="24"/>
          <w:szCs w:val="24"/>
        </w:rPr>
        <w:t xml:space="preserve">万元，其中工程费用</w:t>
      </w:r>
      <w:r>
        <w:rPr>
          <w:rFonts w:hint="eastAsia" w:asciiTheme="minorEastAsia" w:hAnsiTheme="minorEastAsia" w:eastAsiaTheme="minorEastAsia"/>
          <w:color w:val="000000" w:themeColor="text1"/>
          <w:sz w:val="24"/>
          <w:szCs w:val="24"/>
          <w:lang w:val="en"/>
        </w:rPr>
        <w:t xml:space="preserve">63154.62</w:t>
      </w:r>
      <w:r>
        <w:rPr>
          <w:rFonts w:hint="eastAsia" w:asciiTheme="minorEastAsia" w:hAnsiTheme="minorEastAsia" w:eastAsiaTheme="minorEastAsia"/>
          <w:color w:val="000000" w:themeColor="text1"/>
          <w:sz w:val="24"/>
          <w:szCs w:val="24"/>
        </w:rPr>
        <w:t xml:space="preserve">万元，管线改迁6051.54万元，工程建设其他费用3467.66万元，预备费3094.32万元，预计服务期约2年。</w:t>
      </w:r>
      <w:r/>
    </w:p>
    <w:p>
      <w:pPr>
        <w:ind w:firstLine="482"/>
        <w:spacing w:line="312" w:lineRule="auto"/>
        <w:rPr>
          <w:rFonts w:cs="宋体" w:asciiTheme="minorEastAsia" w:hAnsiTheme="minorEastAsia" w:eastAsiaTheme="minorEastAsia"/>
          <w:b/>
          <w:sz w:val="24"/>
          <w:szCs w:val="24"/>
        </w:rPr>
      </w:pPr>
      <w:r>
        <w:rPr>
          <w:rFonts w:hint="eastAsia" w:cs="宋体" w:asciiTheme="minorEastAsia" w:hAnsiTheme="minorEastAsia" w:eastAsiaTheme="minorEastAsia"/>
          <w:b/>
          <w:color w:val="000000" w:themeColor="text1"/>
          <w:sz w:val="24"/>
          <w:szCs w:val="24"/>
        </w:rPr>
        <w:t xml:space="preserve">2、咨询服务要求</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sz w:val="24"/>
          <w:szCs w:val="24"/>
        </w:rPr>
        <w:t xml:space="preserve">（1）审核项目概</w:t>
      </w:r>
      <w:r>
        <w:rPr>
          <w:rFonts w:hint="eastAsia" w:cs="宋体" w:asciiTheme="minorEastAsia" w:hAnsiTheme="minorEastAsia" w:eastAsiaTheme="minorEastAsia"/>
          <w:bCs/>
          <w:color w:val="000000"/>
          <w:sz w:val="24"/>
          <w:szCs w:val="24"/>
        </w:rPr>
        <w:t xml:space="preserve">算批准手续。全面了解建设项目投资估算、概算编制情况，审核项目概算是否按规定获得批准。</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（2）审核项目预算并为合同谈判提供技术服务。配合建设单位做好合同谈判相关工作。</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（3）审核项目合同并监督执行。审核建设项目勘察、设计、监理、施工，设备及大宗材料采购，以及与工程相关的买卖、借款等合同中涉及价款结算的条款是否符</w:t>
      </w:r>
      <w:r>
        <w:rPr>
          <w:rFonts w:hint="eastAsia" w:cs="宋体" w:asciiTheme="minorEastAsia" w:hAnsiTheme="minorEastAsia" w:eastAsiaTheme="minorEastAsia"/>
          <w:bCs/>
          <w:color w:val="000000"/>
          <w:sz w:val="24"/>
          <w:szCs w:val="24"/>
        </w:rPr>
        <w:t xml:space="preserve">合财政、财务管理规定，是否经有关部门备案，对未经招投标程序而签订的合同要严格审核，并按规定预留质量保证金。根据审核情况，向扬州市财政投资评审中心报送施工合同审核报告及建议书。</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4）审核建设项目招标文件和中标人的投标文件。一般应采取“以编代审”的方式审核中标价，并向扬州市财政投资评审中心报送成交价审核报告。对成交价与最高投标限价存在重大偏差的，特别是不平衡报价可能对投资控制造成影响的，应及时将应对措施或建议书面报告扬州市财政投资评审中心。</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5）审核项目设计变更和设备采购计划的调整。参加有关工程设计的变更、施工方案的变更、工程签证会办等例会，对工程变更、签证和新增的工程量应逐一核价，对变更或签证的隐蔽工程应在覆盖前与建设、监理、施工等单位一起进行现场踏勘，并保留影像资料。对变更应根据市城乡建设局《关于印发&lt;工程量计量环节操作规范实施意见&gt;的通知》（扬建工[2013]20号）的相关规定执行。</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（6）审核与监督用款计划、工程价款结算及资金使用情况。根据项目预算和进度审核用款计划、资金拨付情况，对项目各项结算、资金拨付、预付款（含</w:t>
      </w:r>
      <w:r>
        <w:rPr>
          <w:rFonts w:hint="eastAsia" w:cs="宋体" w:asciiTheme="minorEastAsia" w:hAnsiTheme="minorEastAsia" w:eastAsiaTheme="minorEastAsia"/>
          <w:bCs/>
          <w:color w:val="000000"/>
          <w:sz w:val="24"/>
          <w:szCs w:val="24"/>
        </w:rPr>
        <w:t xml:space="preserve">甲供材</w:t>
      </w:r>
      <w:r>
        <w:rPr>
          <w:rFonts w:hint="eastAsia" w:cs="宋体" w:asciiTheme="minorEastAsia" w:hAnsiTheme="minorEastAsia" w:eastAsiaTheme="minorEastAsia"/>
          <w:bCs/>
          <w:color w:val="000000"/>
          <w:sz w:val="24"/>
          <w:szCs w:val="24"/>
        </w:rPr>
        <w:t xml:space="preserve">）扣回等内容进行全面审核与监督，制止</w:t>
      </w:r>
      <w:r>
        <w:rPr>
          <w:rFonts w:hint="eastAsia" w:cs="宋体" w:asciiTheme="minorEastAsia" w:hAnsiTheme="minorEastAsia" w:eastAsiaTheme="minorEastAsia"/>
          <w:bCs/>
          <w:color w:val="000000"/>
          <w:sz w:val="24"/>
          <w:szCs w:val="24"/>
        </w:rPr>
        <w:t xml:space="preserve">建设单位超付工程</w:t>
      </w:r>
      <w:r>
        <w:rPr>
          <w:rFonts w:hint="eastAsia" w:cs="宋体" w:asciiTheme="minorEastAsia" w:hAnsiTheme="minorEastAsia" w:eastAsiaTheme="minorEastAsia"/>
          <w:bCs/>
          <w:color w:val="000000"/>
          <w:sz w:val="24"/>
          <w:szCs w:val="24"/>
        </w:rPr>
        <w:t xml:space="preserve">款或超供</w:t>
      </w:r>
      <w:r>
        <w:rPr>
          <w:rFonts w:hint="eastAsia" w:cs="宋体" w:asciiTheme="minorEastAsia" w:hAnsiTheme="minorEastAsia" w:eastAsiaTheme="minorEastAsia"/>
          <w:bCs/>
          <w:color w:val="000000"/>
          <w:sz w:val="24"/>
          <w:szCs w:val="24"/>
        </w:rPr>
        <w:t xml:space="preserve">甲供材</w:t>
      </w:r>
      <w:r>
        <w:rPr>
          <w:rFonts w:hint="eastAsia" w:cs="宋体" w:asciiTheme="minorEastAsia" w:hAnsiTheme="minorEastAsia" w:eastAsiaTheme="minorEastAsia"/>
          <w:bCs/>
          <w:color w:val="000000"/>
          <w:sz w:val="24"/>
          <w:szCs w:val="24"/>
        </w:rPr>
        <w:t xml:space="preserve">。</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（7）向扬州市财政投资评审中心提交施工阶段造价控制月度工作报告和年度总结报告。</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（8）收集整理评审资料，编制完整的评审工作底稿，并经相关专业评审人员签字确认。</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（9）收到竣工结算资料</w:t>
      </w:r>
      <w:r>
        <w:rPr>
          <w:rFonts w:hint="eastAsia" w:cs="宋体" w:asciiTheme="minorEastAsia" w:hAnsiTheme="minorEastAsia" w:eastAsiaTheme="minorEastAsia"/>
          <w:bCs/>
          <w:color w:val="000000" w:themeColor="text1"/>
          <w:sz w:val="24"/>
          <w:szCs w:val="24"/>
          <w:u w:val="single"/>
        </w:rPr>
        <w:t xml:space="preserve"> 50</w:t>
      </w:r>
      <w:r>
        <w:rPr>
          <w:rFonts w:hint="eastAsia" w:cs="宋体" w:asciiTheme="minorEastAsia" w:hAnsiTheme="minorEastAsia" w:eastAsiaTheme="minorEastAsia"/>
          <w:bCs/>
          <w:color w:val="000000"/>
          <w:sz w:val="24"/>
          <w:szCs w:val="24"/>
        </w:rPr>
        <w:t xml:space="preserve">个工作日内，向扬州市财政投资评审中心提交工程结算初步核对审核报告和全过程跟踪审核报告，报告对变更内容及价款要有专项说明。</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（10）扬州市财政投资评审中心交办的其他有关事项。</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3、服务方案要求。</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（1）总体思路</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含服务</w:t>
      </w:r>
      <w:r>
        <w:rPr>
          <w:rFonts w:hint="eastAsia" w:cs="宋体" w:asciiTheme="minorEastAsia" w:hAnsiTheme="minorEastAsia" w:eastAsiaTheme="minorEastAsia"/>
          <w:sz w:val="24"/>
          <w:szCs w:val="24"/>
        </w:rPr>
        <w:t xml:space="preserve">思路分析、咨询服务整体思路、咨询服务各阶段审核程序、跟审阶段的核心要点、方案执行的保障措施、本项目投资控制。</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服务方案思路清晰，针对本次审核项目，要熟悉服务内容、明确审核目标、充分了解审核依据，审核程序制定合理，提供方案执行的保障措施。</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（2）工作制度</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含公司管理制度、人事管理制度、人员培训制度、办公及日常管理制度等；建立</w:t>
      </w:r>
      <w:r>
        <w:rPr>
          <w:rFonts w:hint="eastAsia" w:cs="宋体" w:asciiTheme="minorEastAsia" w:hAnsiTheme="minorEastAsia" w:eastAsiaTheme="minorEastAsia"/>
          <w:sz w:val="24"/>
          <w:szCs w:val="24"/>
        </w:rPr>
        <w:t xml:space="preserve">财务制度、岗位（职责）制度、保密制度、档案管理制度等；咨询成果质量控制制度、重大项目（问题）会商制度；例会及会审制度；廉洁服务制度、信息管理制度。</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工作制度全面完善，针对本次审核项目，要建立内控制度、岗位（职责）制度、保密制度、例会及会审制度、档案管理制度等各项制度，各项制度措施要合理、合</w:t>
      </w:r>
      <w:r>
        <w:rPr>
          <w:rFonts w:hint="eastAsia" w:cs="宋体" w:asciiTheme="minorEastAsia" w:hAnsiTheme="minorEastAsia" w:eastAsiaTheme="minorEastAsia"/>
          <w:bCs/>
          <w:color w:val="000000" w:themeColor="text1"/>
          <w:sz w:val="24"/>
          <w:szCs w:val="24"/>
        </w:rPr>
        <w:t xml:space="preserve">规</w:t>
      </w:r>
      <w:r>
        <w:rPr>
          <w:rFonts w:hint="eastAsia" w:cs="宋体" w:asciiTheme="minorEastAsia" w:hAnsiTheme="minorEastAsia" w:eastAsiaTheme="minorEastAsia"/>
          <w:bCs/>
          <w:color w:val="000000" w:themeColor="text1"/>
          <w:sz w:val="24"/>
          <w:szCs w:val="24"/>
        </w:rPr>
        <w:t xml:space="preserve">。</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（3）组织机构</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含公司组织架构设置、项目组织机构设置、人员优化保障措施、构建技术支撑体系、强化沟通协调机制。</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组织机构完善，针对本次审核项目，要建立完善的组织架构和组织保障措施，项目组成员分工明确、职责清晰，提供人员优化的合理保障措施，构建良好的沟通协调机制和技术支撑体系。</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（4）进度方案</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含项目进度目标及总体计划安排、进度保证措施、分析进度控制的关键点和应对措施、审核时限承诺、沟通协调。</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进度方案合理，针对本次审核项目，要熟悉项目工作周期和重要节点，制定合理的项目实施计划和进度保障措施，要了解影响进度的风险点并建立防范措施和应对措施，检验工作完成时限承诺。</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（5）质量控制</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含审核质量控制的制度、质量控制流程、各阶段质量控制措施；竣工结算审核；质量保障措施、质量风险控制；质量考评与奖罚措施；针对本项目的跟踪审计服务优势。</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服务质量控制方案合理，针对本次审核项目，要建立服务质量控制制度及确保项目质量的技术、组织保障措施，要建立相应的质量风险控制、质量考核制度和奖惩措施。</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（6）难点分析</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含对本项目熟悉审核内容、各阶段审核重点及难点解析；竣工结算审查关注重点难点分析；各</w:t>
      </w:r>
      <w:r>
        <w:rPr>
          <w:rFonts w:hint="eastAsia" w:cs="宋体" w:asciiTheme="minorEastAsia" w:hAnsiTheme="minorEastAsia" w:eastAsiaTheme="minorEastAsia"/>
          <w:sz w:val="24"/>
          <w:szCs w:val="24"/>
        </w:rPr>
        <w:t xml:space="preserve">阶段协审责任</w:t>
      </w:r>
      <w:r>
        <w:rPr>
          <w:rFonts w:hint="eastAsia" w:cs="宋体" w:asciiTheme="minorEastAsia" w:hAnsiTheme="minorEastAsia" w:eastAsiaTheme="minorEastAsia"/>
          <w:sz w:val="24"/>
          <w:szCs w:val="24"/>
        </w:rPr>
        <w:t xml:space="preserve">划分、应对措施；复杂及分歧事项的控制方法和具体措施；本</w:t>
      </w:r>
      <w:r>
        <w:rPr>
          <w:rFonts w:hint="eastAsia" w:cs="宋体" w:asciiTheme="minorEastAsia" w:hAnsiTheme="minorEastAsia" w:eastAsiaTheme="minorEastAsia"/>
          <w:sz w:val="24"/>
          <w:szCs w:val="24"/>
        </w:rPr>
        <w:t xml:space="preserve">项目协审合理化建议</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重点、难点分析全面、准确，针对本次审核项目中各阶段的重点、难点分析合理，并制定完善、合理的责任划分、应对措施，提出</w:t>
      </w:r>
      <w:r>
        <w:rPr>
          <w:rFonts w:hint="eastAsia" w:cs="宋体" w:asciiTheme="minorEastAsia" w:hAnsiTheme="minorEastAsia" w:eastAsiaTheme="minorEastAsia"/>
          <w:bCs/>
          <w:color w:val="000000" w:themeColor="text1"/>
          <w:sz w:val="24"/>
          <w:szCs w:val="24"/>
        </w:rPr>
        <w:t xml:space="preserve">合理化协审建议</w:t>
      </w:r>
      <w:r>
        <w:rPr>
          <w:rFonts w:hint="eastAsia" w:cs="宋体" w:asciiTheme="minorEastAsia" w:hAnsiTheme="minorEastAsia" w:eastAsiaTheme="minorEastAsia"/>
          <w:bCs/>
          <w:color w:val="000000" w:themeColor="text1"/>
          <w:sz w:val="24"/>
          <w:szCs w:val="24"/>
        </w:rPr>
        <w:t xml:space="preserve">。</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（7）廉政风险</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sz w:val="24"/>
          <w:szCs w:val="24"/>
        </w:rPr>
        <w:t xml:space="preserve">含加强</w:t>
      </w:r>
      <w:r>
        <w:rPr>
          <w:rFonts w:hint="eastAsia" w:cs="宋体" w:asciiTheme="minorEastAsia" w:hAnsiTheme="minorEastAsia" w:eastAsiaTheme="minorEastAsia"/>
          <w:sz w:val="24"/>
          <w:szCs w:val="24"/>
        </w:rPr>
        <w:t xml:space="preserve">廉政学习；严明审计工作纪律；规范程序，确保质量；强化协调监督机制；奖罚措施。</w:t>
      </w:r>
      <w:r/>
    </w:p>
    <w:p>
      <w:pPr>
        <w:ind w:firstLine="480"/>
        <w:spacing w:line="360" w:lineRule="auto"/>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廉政风险控制方案合理，针对本次审核项目，要熟悉廉政内容，严明审计工作纪律，要建立完善的廉政制度、监督制度、保密制度，廉政责任追究要明确、有力。</w:t>
      </w:r>
      <w:r/>
    </w:p>
    <w:p>
      <w:pPr>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4、报价要求</w:t>
      </w:r>
      <w:r/>
    </w:p>
    <w:p>
      <w:pPr>
        <w:ind w:firstLine="480"/>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本项目按固定价格采购，投标人的报价不作为评审因素。</w:t>
      </w:r>
      <w:r/>
    </w:p>
    <w:p>
      <w:pPr>
        <w:ind w:firstLine="482"/>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5、项目团队</w:t>
      </w:r>
      <w:r/>
    </w:p>
    <w:p>
      <w:pPr>
        <w:ind w:firstLine="480"/>
        <w:spacing w:line="360" w:lineRule="auto"/>
        <w:rPr>
          <w:rFonts w:cs="宋体" w:asciiTheme="minorEastAsia" w:hAnsiTheme="minorEastAsia" w:eastAsiaTheme="minorEastAsia"/>
          <w:bCs/>
          <w:color w:val="000000"/>
          <w:sz w:val="24"/>
          <w:szCs w:val="24"/>
        </w:rPr>
      </w:pPr>
      <w:r>
        <w:rPr>
          <w:rFonts w:hint="eastAsia" w:cs="Calibri" w:asciiTheme="minorEastAsia" w:hAnsiTheme="minorEastAsia" w:eastAsiaTheme="minorEastAsia"/>
          <w:sz w:val="24"/>
          <w:szCs w:val="24"/>
        </w:rPr>
        <w:t xml:space="preserve">项目负责人具有一级注册造价师资格（包括原注册造价工程师）及工程类高级及以上职称，</w:t>
      </w:r>
      <w:r>
        <w:rPr>
          <w:rFonts w:hint="eastAsia" w:cs="宋体" w:asciiTheme="minorEastAsia" w:hAnsiTheme="minorEastAsia" w:eastAsiaTheme="minorEastAsia"/>
          <w:bCs/>
          <w:sz w:val="24"/>
          <w:szCs w:val="24"/>
        </w:rPr>
        <w:t xml:space="preserve">担任过类似</w:t>
      </w:r>
      <w:r>
        <w:rPr>
          <w:rFonts w:hint="eastAsia" w:cs="宋体" w:asciiTheme="minorEastAsia" w:hAnsiTheme="minorEastAsia" w:eastAsiaTheme="minorEastAsia"/>
          <w:sz w:val="24"/>
          <w:szCs w:val="24"/>
        </w:rPr>
        <w:t xml:space="preserve">桥梁工程或</w:t>
      </w:r>
      <w:r>
        <w:rPr>
          <w:rFonts w:hint="eastAsia" w:cs="宋体" w:asciiTheme="minorEastAsia" w:hAnsiTheme="minorEastAsia" w:eastAsiaTheme="minorEastAsia"/>
          <w:sz w:val="24"/>
          <w:szCs w:val="24"/>
        </w:rPr>
        <w:t xml:space="preserve">含类似</w:t>
      </w:r>
      <w:r>
        <w:rPr>
          <w:rFonts w:hint="eastAsia" w:cs="宋体" w:asciiTheme="minorEastAsia" w:hAnsiTheme="minorEastAsia" w:eastAsiaTheme="minorEastAsia"/>
          <w:sz w:val="24"/>
          <w:szCs w:val="24"/>
        </w:rPr>
        <w:t xml:space="preserve">桥梁的道路工程（县级以上快速路、高速公路、一级公路）估算审核、概算审核、最高投标限价审核、全过程跟踪审核或结算审核业务</w:t>
      </w:r>
      <w:r>
        <w:rPr>
          <w:rFonts w:hint="eastAsia" w:cs="宋体" w:asciiTheme="minorEastAsia" w:hAnsiTheme="minorEastAsia" w:eastAsiaTheme="minorEastAsia"/>
          <w:bCs/>
          <w:sz w:val="24"/>
          <w:szCs w:val="24"/>
        </w:rPr>
        <w:t xml:space="preserve">项目负责人。</w:t>
      </w:r>
      <w:r/>
    </w:p>
    <w:p>
      <w:pPr>
        <w:ind w:firstLine="480"/>
        <w:spacing w:line="360" w:lineRule="auto"/>
        <w:rPr>
          <w:rFonts w:cs="Calibri" w:asciiTheme="minorEastAsia" w:hAnsiTheme="minorEastAsia" w:eastAsiaTheme="minorEastAsia"/>
          <w:sz w:val="24"/>
          <w:szCs w:val="24"/>
        </w:rPr>
      </w:pPr>
      <w:r>
        <w:rPr>
          <w:rFonts w:hint="eastAsia" w:cs="宋体" w:asciiTheme="minorEastAsia" w:hAnsiTheme="minorEastAsia" w:eastAsiaTheme="minorEastAsia"/>
          <w:bCs/>
          <w:color w:val="000000"/>
          <w:sz w:val="24"/>
          <w:szCs w:val="24"/>
        </w:rPr>
        <w:t xml:space="preserve">项目组配置的专业人员（包含项目负责人）不得低于5人，其中至少有安装专业一级注册造价工程师（包括原注册造价工程师）1名、土</w:t>
      </w:r>
      <w:r>
        <w:rPr>
          <w:rFonts w:hint="eastAsia" w:cs="宋体" w:asciiTheme="minorEastAsia" w:hAnsiTheme="minorEastAsia" w:eastAsiaTheme="minorEastAsia"/>
          <w:bCs/>
          <w:color w:val="000000" w:themeColor="text1"/>
          <w:sz w:val="24"/>
          <w:szCs w:val="24"/>
        </w:rPr>
        <w:t xml:space="preserve">建或水利专业</w:t>
      </w:r>
      <w:r>
        <w:rPr>
          <w:rFonts w:hint="eastAsia" w:cs="宋体" w:asciiTheme="minorEastAsia" w:hAnsiTheme="minorEastAsia" w:eastAsiaTheme="minorEastAsia"/>
          <w:bCs/>
          <w:color w:val="000000"/>
          <w:sz w:val="24"/>
          <w:szCs w:val="24"/>
        </w:rPr>
        <w:t xml:space="preserve">一级注册造价工程师（包括原注册造价工程师）2名及二级注册造价工程师（包括原造价员）2名；</w:t>
      </w:r>
      <w:r>
        <w:rPr>
          <w:rFonts w:hint="eastAsia" w:cs="Calibri" w:asciiTheme="minorEastAsia" w:hAnsiTheme="minorEastAsia" w:eastAsiaTheme="minorEastAsia"/>
          <w:sz w:val="24"/>
          <w:szCs w:val="24"/>
        </w:rPr>
        <w:t xml:space="preserve">项目组配置的专业人员（不含项目负责人）参与</w:t>
      </w:r>
      <w:r>
        <w:rPr>
          <w:rFonts w:hint="eastAsia" w:cs="宋体" w:asciiTheme="minorEastAsia" w:hAnsiTheme="minorEastAsia" w:eastAsiaTheme="minorEastAsia"/>
          <w:bCs/>
          <w:sz w:val="24"/>
          <w:szCs w:val="24"/>
        </w:rPr>
        <w:t xml:space="preserve">过类似</w:t>
      </w:r>
      <w:r>
        <w:rPr>
          <w:rFonts w:hint="eastAsia" w:cs="宋体" w:asciiTheme="minorEastAsia" w:hAnsiTheme="minorEastAsia" w:eastAsiaTheme="minorEastAsia"/>
          <w:sz w:val="24"/>
          <w:szCs w:val="24"/>
        </w:rPr>
        <w:t xml:space="preserve">桥梁工程或</w:t>
      </w:r>
      <w:r>
        <w:rPr>
          <w:rFonts w:hint="eastAsia" w:cs="宋体" w:asciiTheme="minorEastAsia" w:hAnsiTheme="minorEastAsia" w:eastAsiaTheme="minorEastAsia"/>
          <w:sz w:val="24"/>
          <w:szCs w:val="24"/>
        </w:rPr>
        <w:t xml:space="preserve">含类似</w:t>
      </w:r>
      <w:r>
        <w:rPr>
          <w:rFonts w:hint="eastAsia" w:cs="宋体" w:asciiTheme="minorEastAsia" w:hAnsiTheme="minorEastAsia" w:eastAsiaTheme="minorEastAsia"/>
          <w:sz w:val="24"/>
          <w:szCs w:val="24"/>
        </w:rPr>
        <w:t xml:space="preserve">桥梁的道路工程（县级以上快速路、高速公路、一级公路）估算审核、概算审核、最高投标限价审核、全过程跟踪审核或结算审核业务。</w:t>
      </w:r>
      <w:r/>
    </w:p>
    <w:p>
      <w:pPr>
        <w:ind w:firstLine="482"/>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6、驻场服务承诺</w:t>
      </w:r>
      <w:r/>
    </w:p>
    <w:p>
      <w:pPr>
        <w:ind w:firstLine="480"/>
        <w:spacing w:line="360" w:lineRule="auto"/>
        <w:rPr>
          <w:rFonts w:cs="宋体" w:asciiTheme="minorEastAsia" w:hAnsiTheme="minorEastAsia" w:eastAsiaTheme="minorEastAsia"/>
          <w:bCs/>
          <w:iCs/>
          <w:color w:val="000000" w:themeColor="text1"/>
          <w:sz w:val="24"/>
          <w:szCs w:val="24"/>
        </w:rPr>
      </w:pPr>
      <w:r>
        <w:rPr>
          <w:rFonts w:hint="eastAsia" w:cs="宋体" w:asciiTheme="minorEastAsia" w:hAnsiTheme="minorEastAsia" w:eastAsiaTheme="minorEastAsia"/>
          <w:bCs/>
          <w:i/>
          <w:color w:val="000000" w:themeColor="text1"/>
          <w:sz w:val="24"/>
          <w:szCs w:val="24"/>
          <w:u w:val="single"/>
        </w:rPr>
        <w:t xml:space="preserve">全过程跟踪审核项目，投标文件中所列项目组成员（除项目负</w:t>
      </w:r>
      <w:r>
        <w:rPr>
          <w:rFonts w:hint="eastAsia" w:cs="宋体" w:asciiTheme="minorEastAsia" w:hAnsiTheme="minorEastAsia" w:eastAsiaTheme="minorEastAsia"/>
          <w:bCs/>
          <w:i/>
          <w:color w:val="000000" w:themeColor="text1"/>
          <w:sz w:val="24"/>
          <w:szCs w:val="24"/>
          <w:u w:val="single"/>
        </w:rPr>
        <w:t xml:space="preserve">责人）必须全程驻场服务（须按招标文件所附格式提供承诺函</w:t>
      </w:r>
      <w:bookmarkStart w:id="14" w:name="_GoBack"/>
      <w:r/>
      <w:bookmarkEnd w:id="14"/>
      <w:r>
        <w:rPr>
          <w:rFonts w:hint="eastAsia" w:cs="宋体" w:asciiTheme="minorEastAsia" w:hAnsiTheme="minorEastAsia" w:eastAsiaTheme="minorEastAsia"/>
          <w:bCs/>
          <w:i/>
          <w:color w:val="000000" w:themeColor="text1"/>
          <w:sz w:val="24"/>
          <w:szCs w:val="24"/>
          <w:u w:val="single"/>
        </w:rPr>
        <w:t xml:space="preserve">）。</w:t>
      </w:r>
      <w:r>
        <w:rPr>
          <w:rFonts w:hint="eastAsia" w:cs="宋体" w:asciiTheme="minorEastAsia" w:hAnsiTheme="minorEastAsia" w:eastAsiaTheme="minorEastAsia"/>
          <w:bCs/>
          <w:iCs/>
          <w:color w:val="000000" w:themeColor="text1"/>
          <w:sz w:val="24"/>
          <w:szCs w:val="24"/>
        </w:rPr>
        <w:t xml:space="preserve">在履约过程中采购人将根据情况采用人脸识别系统或其他有效手段对驻场服务情况进行考勤，若未按要求进行全程驻场服务，视同违约，采购人有权扣减服务费用，出现三次考勤不合格的，采购人有权单方面取消采购合同，追偿中标人因违约给采购人造成的经济损失，并可在一定范围内通报相关事实和情况。</w:t>
      </w:r>
      <w:r/>
    </w:p>
    <w:p>
      <w:pPr>
        <w:ind w:firstLine="482"/>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7、后续服务承诺</w:t>
      </w:r>
      <w:r/>
    </w:p>
    <w:p>
      <w:pPr>
        <w:ind w:firstLine="480"/>
        <w:spacing w:line="360" w:lineRule="auto"/>
        <w:tabs>
          <w:tab w:val="left" w:pos="0" w:leader="none"/>
          <w:tab w:val="left" w:pos="993" w:leader="none"/>
          <w:tab w:val="left" w:pos="1134" w:leader="none"/>
        </w:tabs>
        <w:rPr>
          <w:rFonts w:cs="宋体" w:asciiTheme="minorEastAsia" w:hAnsiTheme="minorEastAsia" w:eastAsiaTheme="minorEastAsia"/>
          <w:bCs/>
          <w:iCs/>
          <w:color w:val="000000" w:themeColor="text1"/>
          <w:sz w:val="24"/>
          <w:szCs w:val="24"/>
        </w:rPr>
      </w:pPr>
      <w:r>
        <w:rPr>
          <w:rFonts w:hint="eastAsia" w:cs="宋体" w:asciiTheme="minorEastAsia" w:hAnsiTheme="minorEastAsia" w:eastAsiaTheme="minorEastAsia"/>
          <w:bCs/>
          <w:i/>
          <w:color w:val="000000" w:themeColor="text1"/>
          <w:sz w:val="24"/>
          <w:szCs w:val="24"/>
          <w:u w:val="single"/>
        </w:rPr>
        <w:t xml:space="preserve">投标人对中标后续服务事项</w:t>
      </w:r>
      <w:r>
        <w:rPr>
          <w:rFonts w:hint="eastAsia" w:cs="宋体" w:asciiTheme="minorEastAsia" w:hAnsiTheme="minorEastAsia" w:eastAsiaTheme="minorEastAsia"/>
          <w:bCs/>
          <w:i/>
          <w:color w:val="000000" w:themeColor="text1"/>
          <w:sz w:val="24"/>
          <w:szCs w:val="24"/>
          <w:u w:val="single"/>
        </w:rPr>
        <w:t xml:space="preserve">作出</w:t>
      </w:r>
      <w:r>
        <w:rPr>
          <w:rFonts w:hint="eastAsia" w:cs="宋体" w:asciiTheme="minorEastAsia" w:hAnsiTheme="minorEastAsia" w:eastAsiaTheme="minorEastAsia"/>
          <w:bCs/>
          <w:i/>
          <w:color w:val="000000" w:themeColor="text1"/>
          <w:sz w:val="24"/>
          <w:szCs w:val="24"/>
          <w:u w:val="single"/>
        </w:rPr>
        <w:t xml:space="preserve">承诺（须按招标文件所附格式提供承诺函，扫描上传），承诺在接到采购人通知后 1小时内项目负责人到达项目协调会现场（扬州市财政投资评审中心，扬子江北路471号）。</w:t>
      </w:r>
      <w:r>
        <w:rPr>
          <w:rFonts w:hint="eastAsia" w:cs="宋体" w:asciiTheme="minorEastAsia" w:hAnsiTheme="minorEastAsia" w:eastAsiaTheme="minorEastAsia"/>
          <w:bCs/>
          <w:iCs/>
          <w:color w:val="000000" w:themeColor="text1"/>
          <w:sz w:val="24"/>
          <w:szCs w:val="24"/>
        </w:rPr>
        <w:t xml:space="preserve">在履约过程中投标人接到采购人通知后，项目负责人若未按要求在 1小时内到达项目协调会现场的，视同违约，采购人有权扣减服务费用，出现三次未及时到</w:t>
      </w:r>
      <w:r>
        <w:rPr>
          <w:rFonts w:hint="eastAsia" w:asciiTheme="minorEastAsia" w:hAnsiTheme="minorEastAsia" w:eastAsiaTheme="minorEastAsia"/>
          <w:bCs/>
          <w:iCs/>
          <w:color w:val="000000" w:themeColor="text1"/>
          <w:sz w:val="24"/>
          <w:szCs w:val="24"/>
        </w:rPr>
        <w:t xml:space="preserve">达协调会现场的，采购人有权</w:t>
      </w:r>
      <w:r>
        <w:rPr>
          <w:rFonts w:hint="eastAsia" w:cs="宋体" w:asciiTheme="minorEastAsia" w:hAnsiTheme="minorEastAsia" w:eastAsiaTheme="minorEastAsia"/>
          <w:bCs/>
          <w:iCs/>
          <w:color w:val="000000" w:themeColor="text1"/>
          <w:sz w:val="24"/>
          <w:szCs w:val="24"/>
        </w:rPr>
        <w:t xml:space="preserve">单方面取消采购合同，</w:t>
      </w:r>
      <w:r>
        <w:rPr>
          <w:rFonts w:hint="eastAsia" w:cs="宋体" w:asciiTheme="minorEastAsia" w:hAnsiTheme="minorEastAsia" w:eastAsiaTheme="minorEastAsia"/>
          <w:bCs/>
          <w:iCs/>
          <w:color w:val="000000" w:themeColor="text1"/>
          <w:sz w:val="24"/>
          <w:szCs w:val="24"/>
        </w:rPr>
        <w:t xml:space="preserve">追偿投标人因违约给采购人造成的经济损失，并可在一定范围内通报相关事实和情况。</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rPr>
          <w:rFonts w:eastAsia="Times New Roman"/>
          <w:color w:val="000000"/>
        </w:rPr>
        <w:pBdr>
          <w:top w:val="none" w:color="000000" w:sz="4" w:space="0"/>
          <w:left w:val="none" w:color="000000" w:sz="4" w:space="0"/>
          <w:bottom w:val="none" w:color="000000" w:sz="4" w:space="0"/>
          <w:right w:val="none" w:color="000000" w:sz="4" w:space="0"/>
        </w:pBdr>
      </w:pPr>
      <w:r>
        <w:rPr>
          <w:rFonts w:eastAsia="Times New Roman"/>
          <w:color w:val="000000"/>
        </w:rPr>
      </w:r>
      <w:r/>
    </w:p>
    <w:p>
      <w:pPr>
        <w:spacing w:before="240" w:after="240"/>
        <w:pBdr>
          <w:top w:val="none" w:color="000000" w:sz="4" w:space="0"/>
          <w:left w:val="none" w:color="000000" w:sz="4" w:space="0"/>
          <w:bottom w:val="none" w:color="000000" w:sz="4" w:space="0"/>
          <w:right w:val="none" w:color="000000" w:sz="4" w:space="0"/>
        </w:pBdr>
      </w:pPr>
      <w:r/>
      <w:r/>
    </w:p>
    <w:p>
      <w:pPr>
        <w:pStyle w:val="705"/>
        <w:rPr>
          <w:rFonts w:hint="eastAsia"/>
        </w:rPr>
      </w:pPr>
      <w:r>
        <w:rPr>
          <w:rFonts w:ascii="黑体" w:hAnsi="黑体" w:cs="黑体"/>
          <w:color w:val="000000"/>
        </w:rPr>
        <w:t xml:space="preserve"> 第五章评标方法与评标标准</w:t>
      </w:r>
      <w:r/>
    </w:p>
    <w:p>
      <w:p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ind w:firstLine="439"/>
        <w:spacing w:before="240" w:after="240"/>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满足招标文件全部实质性要求，</w:t>
            </w:r>
            <w:r>
              <w:rPr>
                <w:rFonts w:ascii="宋体" w:hAnsi="宋体" w:cs="宋体"/>
                <w:color w:val="000000"/>
                <w:sz w:val="24"/>
              </w:rPr>
              <w:t xml:space="preserve">且按照</w:t>
            </w:r>
            <w:r>
              <w:rPr>
                <w:rFonts w:ascii="宋体" w:hAnsi="宋体" w:cs="宋体"/>
                <w:color w:val="000000"/>
                <w:sz w:val="24"/>
              </w:rPr>
              <w:t xml:space="preserve">评审因素的量化指标评审得分最高的投标人为中标候选人。</w:t>
            </w:r>
            <w:r/>
          </w:p>
          <w:p>
            <w:pPr>
              <w:jc w:val="center"/>
              <w:rPr>
                <w:color w:val="0070c0"/>
              </w:rPr>
              <w:pBdr>
                <w:top w:val="none" w:color="000000" w:sz="4" w:space="0"/>
                <w:left w:val="none" w:color="000000" w:sz="4" w:space="0"/>
                <w:bottom w:val="none" w:color="000000" w:sz="4" w:space="0"/>
                <w:right w:val="none" w:color="000000" w:sz="4" w:space="0"/>
              </w:pBdr>
            </w:pPr>
            <w:r>
              <w:rPr>
                <w:color w:val="0070c0"/>
              </w:rPr>
            </w:r>
            <w:r/>
          </w:p>
        </w:tc>
      </w:tr>
    </w:tbl>
    <w:p>
      <w:pPr>
        <w:ind w:firstLine="441"/>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政府采购政策功能落实</w:t>
      </w:r>
      <w:r/>
    </w:p>
    <w:p>
      <w:pPr>
        <w:ind w:firstLine="441"/>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ff0000"/>
          <w:sz w:val="24"/>
        </w:rPr>
        <w:t xml:space="preserve">本项目专门面向中小企业：是</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是</w:t>
            </w:r>
            <w:r/>
          </w:p>
        </w:tc>
      </w:tr>
    </w:tbl>
    <w:p>
      <w:pPr>
        <w:ind w:firstLine="480"/>
        <w:spacing w:before="120" w:after="120"/>
      </w:pPr>
      <w:r>
        <w:rPr>
          <w:rFonts w:hint="eastAsia" w:ascii="宋体" w:hAnsi="宋体" w:cs="宋体"/>
          <w:color w:val="000000"/>
          <w:sz w:val="24"/>
        </w:rPr>
        <w:t xml:space="preserve">1、小微型企业价格扣除</w:t>
      </w:r>
      <w:r/>
    </w:p>
    <w:p>
      <w:pPr>
        <w:ind w:firstLine="360"/>
        <w:spacing w:before="120" w:after="120"/>
        <w:rPr>
          <w:rFonts w:ascii="宋体" w:hAnsi="宋体" w:cs="宋体"/>
          <w:color w:val="000000"/>
          <w:sz w:val="24"/>
        </w:rPr>
      </w:pPr>
      <w:r>
        <w:rPr>
          <w:rFonts w:hint="eastAsia"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hint="eastAsia" w:ascii="宋体" w:hAnsi="宋体" w:cs="宋体"/>
          <w:color w:val="000000"/>
          <w:sz w:val="24"/>
        </w:rPr>
        <w:t xml:space="preserve">的扣除价格，用扣除后的价格参与评审。</w:t>
      </w:r>
      <w:r/>
    </w:p>
    <w:p>
      <w:pPr>
        <w:ind w:firstLine="360"/>
        <w:spacing w:before="120" w:after="120"/>
      </w:pPr>
      <w:r>
        <w:rPr>
          <w:rFonts w:hint="eastAsia" w:ascii="宋体" w:hAnsi="宋体" w:cs="宋体"/>
          <w:color w:val="000000"/>
          <w:sz w:val="24"/>
        </w:rPr>
        <w:t xml:space="preserve">（2）供应商需按照采购文件的要求提供相应的《中小企业声明函》。</w:t>
      </w:r>
      <w:r/>
    </w:p>
    <w:p>
      <w:pPr>
        <w:ind w:firstLine="360"/>
        <w:spacing w:before="240" w:after="240"/>
      </w:pPr>
      <w:r>
        <w:rPr>
          <w:rFonts w:hint="eastAsia"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Pr>
      <w:r>
        <w:rPr>
          <w:rFonts w:hint="eastAsia" w:ascii="宋体" w:hAnsi="宋体" w:cs="宋体"/>
          <w:color w:val="000000"/>
          <w:sz w:val="24"/>
        </w:rPr>
        <w:t xml:space="preserve">2、残疾人福利单位价格扣除</w:t>
      </w:r>
      <w:r/>
    </w:p>
    <w:p>
      <w:pPr>
        <w:ind w:left="120" w:firstLine="360"/>
        <w:spacing w:before="120" w:after="120"/>
      </w:pPr>
      <w:r>
        <w:rPr>
          <w:rFonts w:hint="eastAsia"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hint="eastAsia" w:ascii="宋体" w:hAnsi="宋体" w:cs="宋体"/>
          <w:color w:val="000000"/>
          <w:sz w:val="24"/>
        </w:rPr>
        <w:t xml:space="preserve">的价格扣除，用扣除后的价格参与评审。</w:t>
      </w:r>
      <w:r/>
    </w:p>
    <w:p>
      <w:pPr>
        <w:ind w:left="120" w:firstLine="360"/>
        <w:spacing w:before="120" w:after="120"/>
      </w:pPr>
      <w:r>
        <w:rPr>
          <w:rFonts w:hint="eastAsia" w:ascii="宋体" w:hAnsi="宋体" w:cs="宋体"/>
          <w:color w:val="000000"/>
          <w:sz w:val="24"/>
        </w:rPr>
        <w:t xml:space="preserve">（2）残疾人福利单位需按照采购文件的要求提供《残疾人福利性单位声明函》。</w:t>
      </w:r>
      <w:r/>
    </w:p>
    <w:p>
      <w:pPr>
        <w:ind w:left="120" w:firstLine="360"/>
        <w:spacing w:before="120" w:after="120"/>
      </w:pPr>
      <w:r>
        <w:rPr>
          <w:rFonts w:hint="eastAsia" w:ascii="宋体" w:hAnsi="宋体" w:cs="宋体"/>
          <w:color w:val="000000"/>
          <w:sz w:val="24"/>
        </w:rPr>
        <w:t xml:space="preserve">（3）残疾人福利单位标准请参照《关于促进残疾人就业政府采购政策的通知》（财库〔2017〕141号）。</w:t>
      </w:r>
      <w:r/>
    </w:p>
    <w:p>
      <w:pPr>
        <w:ind w:firstLine="480"/>
        <w:spacing w:before="120" w:after="120"/>
      </w:pPr>
      <w:r>
        <w:rPr>
          <w:rFonts w:hint="eastAsia" w:ascii="宋体" w:hAnsi="宋体" w:cs="宋体"/>
          <w:color w:val="000000"/>
          <w:sz w:val="24"/>
        </w:rPr>
        <w:t xml:space="preserve">3、监狱和戒毒企业价格扣除</w:t>
      </w:r>
      <w:r/>
    </w:p>
    <w:p>
      <w:pPr>
        <w:ind w:firstLine="480"/>
        <w:spacing w:before="120" w:after="120"/>
      </w:pPr>
      <w:r>
        <w:rPr>
          <w:rFonts w:hint="eastAsia"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hint="eastAsia" w:ascii="宋体" w:hAnsi="宋体" w:cs="宋体"/>
          <w:color w:val="000000"/>
          <w:sz w:val="24"/>
        </w:rPr>
        <w:t xml:space="preserve">的价格扣除，用扣除后的价格参与评审。</w:t>
      </w:r>
      <w:r/>
    </w:p>
    <w:p>
      <w:pPr>
        <w:ind w:firstLine="480"/>
        <w:spacing w:before="120" w:after="120"/>
      </w:pPr>
      <w:r>
        <w:rPr>
          <w:rFonts w:hint="eastAsia"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Pr>
      <w:r>
        <w:rPr>
          <w:rFonts w:hint="eastAsia"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Pr>
      <w:r>
        <w:rPr>
          <w:rFonts w:hint="eastAsia"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Pr>
      <w:r>
        <w:rPr>
          <w:rFonts w:hint="eastAsia"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hint="eastAsia" w:ascii="宋体" w:hAnsi="宋体" w:cs="宋体"/>
          <w:color w:val="000000"/>
          <w:sz w:val="24"/>
        </w:rPr>
        <w:t xml:space="preserve">的价格扣除，用扣除后的价格参与评审。</w:t>
      </w:r>
      <w:r/>
    </w:p>
    <w:p>
      <w:pPr>
        <w:ind w:firstLine="480"/>
        <w:spacing w:before="120" w:after="120" w:line="400" w:lineRule="atLeast"/>
      </w:pPr>
      <w:r>
        <w:rPr>
          <w:rFonts w:hint="eastAsia"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hint="eastAsia" w:ascii="宋体" w:hAnsi="宋体" w:cs="宋体"/>
          <w:color w:val="000000"/>
          <w:sz w:val="24"/>
        </w:rPr>
        <w:t xml:space="preserve">价格扣除，用扣除后的价格参与评审。</w:t>
      </w:r>
      <w:r/>
    </w:p>
    <w:p>
      <w:pPr>
        <w:ind w:firstLine="482"/>
        <w:spacing w:before="240" w:after="24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评标方法与评标标准</w:t>
      </w:r>
      <w:r>
        <w:rPr>
          <w:rFonts w:ascii="宋体" w:hAnsi="宋体" w:cs="宋体"/>
          <w:color w:val="000000"/>
          <w:sz w:val="24"/>
        </w:rPr>
        <w:t xml:space="preserve"> </w:t>
      </w:r>
      <w:r/>
    </w:p>
    <w:tbl>
      <w:tblPr>
        <w:tblpPr w:horzAnchor="page" w:tblpX="976" w:vertAnchor="text" w:tblpY="594" w:leftFromText="180" w:topFromText="0" w:rightFromText="180" w:bottomFromText="0"/>
        <w:tblW w:w="98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8481"/>
      </w:tblGrid>
      <w:tr>
        <w:trPr>
          <w:trHeight w:val="465"/>
        </w:trPr>
        <w:tc>
          <w:tcPr>
            <w:tcW w:w="1413"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w:t>
            </w:r>
            <w:r/>
          </w:p>
        </w:tc>
        <w:tc>
          <w:tcPr>
            <w:tcW w:w="8481"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评分标准</w:t>
            </w:r>
            <w:r/>
          </w:p>
        </w:tc>
      </w:tr>
      <w:tr>
        <w:trPr>
          <w:trHeight w:val="734"/>
        </w:trPr>
        <w:tc>
          <w:tcPr>
            <w:tcW w:w="1413"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企业信誉</w:t>
            </w:r>
            <w:r/>
          </w:p>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分）</w:t>
            </w:r>
            <w:r/>
          </w:p>
        </w:tc>
        <w:tc>
          <w:tcPr>
            <w:tcW w:w="8481" w:type="dxa"/>
            <w:vAlign w:val="center"/>
            <w:textDirection w:val="lrTb"/>
            <w:noWrap w:val="false"/>
          </w:tcPr>
          <w:p>
            <w:pP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1、投标人具有ISO9001质量管理体系认证证书、ISO14001环境管理体系认证证书、ISO45001职业健康安全管理体系认证三证齐全且在有效期内的，有1项得1分，满分3分。</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投标人获全国工程造价咨询企业信用评价且在有效期内的，AAA得</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分，AA得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分，A得1分。</w:t>
            </w:r>
            <w:r/>
          </w:p>
          <w:p>
            <w:pPr>
              <w:jc w:val="left"/>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（需提供上述证书或文件，原件扫描上传，未按要求提供的不得分。）</w:t>
            </w:r>
            <w:r/>
          </w:p>
        </w:tc>
      </w:tr>
      <w:tr>
        <w:trPr>
          <w:trHeight w:val="1282"/>
        </w:trPr>
        <w:tc>
          <w:tcPr>
            <w:tcW w:w="1413" w:type="dxa"/>
            <w:vAlign w:val="center"/>
            <w:textDirection w:val="lrTb"/>
            <w:noWrap w:val="false"/>
          </w:tcPr>
          <w:p>
            <w:pPr>
              <w:jc w:val="center"/>
              <w:spacing w:after="12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项目负责人</w:t>
            </w:r>
            <w:r/>
          </w:p>
          <w:p>
            <w:pPr>
              <w:jc w:val="center"/>
              <w:spacing w:after="12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（12分）</w:t>
            </w:r>
            <w:r/>
          </w:p>
        </w:tc>
        <w:tc>
          <w:tcPr>
            <w:tcW w:w="8481" w:type="dxa"/>
            <w:vAlign w:val="center"/>
            <w:textDirection w:val="lrTb"/>
            <w:noWrap w:val="false"/>
          </w:tcPr>
          <w:p>
            <w:pPr>
              <w:jc w:val="left"/>
              <w:spacing w:line="440" w:lineRule="exact"/>
              <w:rPr>
                <w:rFonts w:cs="Calibri"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Calibri" w:asciiTheme="minorEastAsia" w:hAnsiTheme="minorEastAsia" w:eastAsiaTheme="minorEastAsia"/>
                <w:sz w:val="24"/>
                <w:szCs w:val="24"/>
              </w:rPr>
              <w:t xml:space="preserve">具有一级注册造价师资格（包括原注册造价工程师）及工程类高级及以上职称的，得3分。</w:t>
            </w:r>
            <w:r/>
          </w:p>
          <w:p>
            <w:pPr>
              <w:jc w:val="left"/>
              <w:spacing w:line="440" w:lineRule="exact"/>
              <w:rPr>
                <w:rFonts w:cs="Calibri" w:asciiTheme="minorEastAsia" w:hAnsiTheme="minorEastAsia" w:eastAsiaTheme="minorEastAsia"/>
                <w:sz w:val="24"/>
                <w:szCs w:val="24"/>
              </w:rPr>
            </w:pPr>
            <w:r>
              <w:rPr>
                <w:rFonts w:hint="eastAsia" w:cs="Calibri" w:asciiTheme="minorEastAsia" w:hAnsiTheme="minorEastAsia" w:eastAsiaTheme="minorEastAsia"/>
                <w:sz w:val="24"/>
                <w:szCs w:val="24"/>
              </w:rPr>
              <w:t xml:space="preserve">2、担任过类似桥梁工程或</w:t>
            </w:r>
            <w:r>
              <w:rPr>
                <w:rFonts w:hint="eastAsia" w:cs="Calibri" w:asciiTheme="minorEastAsia" w:hAnsiTheme="minorEastAsia" w:eastAsiaTheme="minorEastAsia"/>
                <w:sz w:val="24"/>
                <w:szCs w:val="24"/>
              </w:rPr>
              <w:t xml:space="preserve">含类似</w:t>
            </w:r>
            <w:r>
              <w:rPr>
                <w:rFonts w:hint="eastAsia" w:cs="Calibri" w:asciiTheme="minorEastAsia" w:hAnsiTheme="minorEastAsia" w:eastAsiaTheme="minorEastAsia"/>
                <w:sz w:val="24"/>
                <w:szCs w:val="24"/>
              </w:rPr>
              <w:t xml:space="preserve">桥梁的道路工程（县级以上快速路、高速公路、一级公路）估算审核、概算审核、最高投标限价审核、全过程跟踪审核或结算审核业务项目负责人的（承担同一项目不同审核业务的，只计1次），有1个得3分，满分9分。</w:t>
            </w:r>
            <w:r/>
          </w:p>
          <w:p>
            <w:pPr>
              <w:jc w:val="left"/>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以上需提供职称证书、执业资格有效注册证书、能充分证明承担过类似业绩的相关材料及投标人近三个月内任意一个月为其缴纳社保的证明材料，原件扫描上传，未按要求提供的不得分。</w:t>
            </w:r>
            <w:r/>
          </w:p>
        </w:tc>
      </w:tr>
      <w:tr>
        <w:trPr>
          <w:cantSplit/>
          <w:trHeight w:val="809"/>
        </w:trPr>
        <w:tc>
          <w:tcPr>
            <w:tcW w:w="1413" w:type="dxa"/>
            <w:vAlign w:val="center"/>
            <w:textDirection w:val="lrTb"/>
            <w:noWrap w:val="false"/>
          </w:tcPr>
          <w:p>
            <w:pPr>
              <w:spacing w:after="12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项目组人员</w:t>
            </w:r>
            <w:r/>
          </w:p>
          <w:p>
            <w:pPr>
              <w:spacing w:after="120"/>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(20分）</w:t>
            </w:r>
            <w:r/>
          </w:p>
          <w:p>
            <w:pPr>
              <w:jc w:val="cente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481" w:type="dxa"/>
            <w:vAlign w:val="center"/>
            <w:textDirection w:val="lrTb"/>
            <w:noWrap w:val="false"/>
          </w:tcPr>
          <w:p>
            <w:pPr>
              <w:numPr>
                <w:ilvl w:val="0"/>
                <w:numId w:val="9"/>
              </w:numPr>
              <w:spacing w:line="44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项目组配置的专业人员（包含项目负责人）不得低于5人，其中至少有安装专业一级注册造价工程师（包括原注册造价工程师）1名，土建或水利专业一级注册造价工程师（包括原注册造价工程师）2名，二级注册造价工程师（包括原造价员）2名，满足要求得10分，不满足要求不得分。项目组成员配置中，配置专业人员执业资格高于上述要求的，有1人加</w:t>
            </w:r>
            <w:r>
              <w:rPr>
                <w:rFonts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分，最多加</w:t>
            </w:r>
            <w:r>
              <w:rPr>
                <w:rFonts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分。本</w:t>
            </w:r>
            <w:r>
              <w:rPr>
                <w:rFonts w:hint="eastAsia" w:cs="宋体" w:asciiTheme="minorEastAsia" w:hAnsiTheme="minorEastAsia" w:eastAsiaTheme="minorEastAsia"/>
                <w:color w:val="000000" w:themeColor="text1"/>
                <w:sz w:val="24"/>
                <w:szCs w:val="24"/>
              </w:rPr>
              <w:t xml:space="preserve">项满分12分。</w:t>
            </w:r>
            <w:r/>
          </w:p>
          <w:p>
            <w:pPr>
              <w:jc w:val="left"/>
              <w:spacing w:line="440" w:lineRule="exact"/>
              <w:tabs>
                <w:tab w:val="left" w:pos="4860" w:leader="none"/>
              </w:tabs>
              <w:rPr>
                <w:rFonts w:cs="宋体" w:asciiTheme="minorEastAsia" w:hAnsiTheme="minorEastAsia" w:eastAsiaTheme="minorEastAsia"/>
                <w:color w:val="000000" w:themeColor="text1"/>
                <w:sz w:val="24"/>
                <w:szCs w:val="24"/>
              </w:rPr>
            </w:pPr>
            <w:r>
              <w:rPr>
                <w:rFonts w:hint="eastAsia" w:cs="Calibri"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项目组配置的专业人员（不含项目负责人）从事类似桥梁工程或</w:t>
            </w:r>
            <w:r>
              <w:rPr>
                <w:rFonts w:hint="eastAsia" w:cs="宋体" w:asciiTheme="minorEastAsia" w:hAnsiTheme="minorEastAsia" w:eastAsiaTheme="minorEastAsia"/>
                <w:color w:val="000000" w:themeColor="text1"/>
                <w:sz w:val="24"/>
                <w:szCs w:val="24"/>
              </w:rPr>
              <w:t xml:space="preserve">含类似</w:t>
            </w:r>
            <w:r>
              <w:rPr>
                <w:rFonts w:hint="eastAsia" w:cs="宋体" w:asciiTheme="minorEastAsia" w:hAnsiTheme="minorEastAsia" w:eastAsiaTheme="minorEastAsia"/>
                <w:color w:val="000000" w:themeColor="text1"/>
                <w:sz w:val="24"/>
                <w:szCs w:val="24"/>
              </w:rPr>
              <w:t xml:space="preserve">桥梁的道路工程（县级以上快速路、高速公路、一级公路）估算审核、概算审核、最高投标限价审核、全过程跟踪审核或结算审核业务的（承担同一项目不同审核业务的，只计1次），有1个得2分，满分8分。</w:t>
            </w:r>
            <w:r/>
          </w:p>
          <w:p>
            <w:pPr>
              <w:spacing w:line="440" w:lineRule="exact"/>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b/>
                <w:color w:val="000000" w:themeColor="text1"/>
                <w:sz w:val="24"/>
                <w:szCs w:val="24"/>
              </w:rPr>
              <w:t xml:space="preserve">（需提供项目组所有成员的执业资格有效注册证书、能充分证明承担过类似业绩的相关材料及投标人近三个月内任意一个月为其缴纳社保的证明材料，</w:t>
            </w:r>
            <w:r>
              <w:rPr>
                <w:rFonts w:hint="eastAsia" w:cs="宋体" w:asciiTheme="minorEastAsia" w:hAnsiTheme="minorEastAsia" w:eastAsiaTheme="minorEastAsia"/>
                <w:b/>
                <w:bCs/>
                <w:color w:val="000000" w:themeColor="text1"/>
                <w:sz w:val="24"/>
                <w:szCs w:val="24"/>
              </w:rPr>
              <w:t xml:space="preserve">原件</w:t>
            </w:r>
            <w:r>
              <w:rPr>
                <w:rFonts w:hint="eastAsia" w:cs="宋体" w:asciiTheme="minorEastAsia" w:hAnsiTheme="minorEastAsia" w:eastAsiaTheme="minorEastAsia"/>
                <w:b/>
                <w:color w:val="000000" w:themeColor="text1"/>
                <w:sz w:val="24"/>
                <w:szCs w:val="24"/>
              </w:rPr>
              <w:t xml:space="preserve">扫描上传，未按要求提供的不得分）</w:t>
            </w:r>
            <w:r/>
          </w:p>
        </w:tc>
      </w:tr>
      <w:tr>
        <w:trPr>
          <w:cantSplit/>
          <w:trHeight w:val="2027"/>
        </w:trPr>
        <w:tc>
          <w:tcPr>
            <w:tcW w:w="1413" w:type="dxa"/>
            <w:vAlign w:val="center"/>
            <w:textDirection w:val="lrTb"/>
            <w:noWrap w:val="false"/>
          </w:tcPr>
          <w:p>
            <w:pPr>
              <w:jc w:val="center"/>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服务方案</w:t>
            </w:r>
            <w:r/>
          </w:p>
          <w:p>
            <w:pPr>
              <w:spacing w:after="120"/>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40</w:t>
            </w:r>
            <w:r>
              <w:rPr>
                <w:rFonts w:hint="eastAsia" w:cs="宋体" w:asciiTheme="minorEastAsia" w:hAnsiTheme="minorEastAsia" w:eastAsiaTheme="minorEastAsia"/>
                <w:sz w:val="24"/>
                <w:szCs w:val="24"/>
              </w:rPr>
              <w:t xml:space="preserve">分）</w:t>
            </w:r>
            <w:r/>
          </w:p>
          <w:p>
            <w:pPr>
              <w:ind w:left="420"/>
              <w:jc w:val="center"/>
              <w:spacing w:after="12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8481" w:type="dxa"/>
            <w:vAlign w:val="center"/>
            <w:textDirection w:val="lrTb"/>
            <w:noWrap w:val="false"/>
          </w:tcPr>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1、总体思路要求：优于采购文件要求得6分；符合采购文件要求得4分；不符合采购文件要求或未提供的不得分。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2、工作制度要求：优于采购文件要求得6分；符合采购文件要求得4分；不符合采购文件要求或未提供的不得分。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3、组织机构要求：优于采购文件要求得6分；符合采购文件要求得4分；不符合采购文件要求或未提供的不得分。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4、进度方案要求：优于采购文件要求得6分；符合采购文件要求得4分；不符合采购文件要求或未提供的不得分。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5、质量控制要求：优于采购文件要求得6分；符合采购文件要求得4分；不符合采购文件要求或未提供的不得分。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6、难点分析要求：优于采购文件要求得5分；符合采购文件要求得3分；不符合采购文件要求或未提供的不得分。</w:t>
            </w:r>
            <w:r/>
          </w:p>
          <w:p>
            <w:pPr>
              <w:jc w:val="left"/>
              <w:spacing w:line="440" w:lineRule="exact"/>
              <w:tabs>
                <w:tab w:val="left" w:pos="48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7、廉政风险要求：优于采购文件要求得5分；符合采购文件要求得3分；不符合采购文件要求或未提供的不得分。</w:t>
            </w:r>
            <w:r/>
          </w:p>
        </w:tc>
      </w:tr>
      <w:tr>
        <w:trPr>
          <w:trHeight w:val="1250"/>
        </w:trPr>
        <w:tc>
          <w:tcPr>
            <w:tcW w:w="1413" w:type="dxa"/>
            <w:vAlign w:val="center"/>
            <w:textDirection w:val="lrTb"/>
            <w:noWrap w:val="false"/>
          </w:tcPr>
          <w:p>
            <w:pPr>
              <w:jc w:val="center"/>
              <w:spacing w:line="44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业绩</w:t>
            </w:r>
            <w:r/>
          </w:p>
          <w:p>
            <w:pPr>
              <w:spacing w:after="120"/>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（20分）</w:t>
            </w:r>
            <w:r/>
          </w:p>
        </w:tc>
        <w:tc>
          <w:tcPr>
            <w:tcW w:w="8481" w:type="dxa"/>
            <w:vAlign w:val="center"/>
            <w:textDirection w:val="lrTb"/>
            <w:noWrap w:val="false"/>
          </w:tcPr>
          <w:p>
            <w:pPr>
              <w:jc w:val="left"/>
              <w:spacing w:line="312" w:lineRule="auto"/>
              <w:rPr>
                <w:rFonts w:cs="宋体" w:asciiTheme="minorEastAsia" w:hAnsiTheme="minorEastAsia" w:eastAsiaTheme="minorEastAsia"/>
                <w:sz w:val="24"/>
                <w:szCs w:val="24"/>
              </w:rPr>
            </w:pPr>
            <w:r>
              <w:rPr>
                <w:rFonts w:hint="eastAsia" w:ascii="宋体" w:hAnsi="宋体" w:cs="宋体"/>
                <w:sz w:val="24"/>
                <w:szCs w:val="24"/>
              </w:rPr>
              <w:t xml:space="preserve">2</w:t>
            </w:r>
            <w:r>
              <w:rPr>
                <w:rFonts w:hint="eastAsia" w:cs="宋体" w:asciiTheme="minorEastAsia" w:hAnsiTheme="minorEastAsia" w:eastAsiaTheme="minorEastAsia"/>
                <w:sz w:val="24"/>
                <w:szCs w:val="24"/>
              </w:rPr>
              <w:t xml:space="preserve">020年1月1日（以合同或委托书签订日期为准）以来，投标人承担过类似桥梁工程或</w:t>
            </w:r>
            <w:r>
              <w:rPr>
                <w:rFonts w:hint="eastAsia" w:cs="宋体" w:asciiTheme="minorEastAsia" w:hAnsiTheme="minorEastAsia" w:eastAsiaTheme="minorEastAsia"/>
                <w:sz w:val="24"/>
                <w:szCs w:val="24"/>
              </w:rPr>
              <w:t xml:space="preserve">含类似</w:t>
            </w:r>
            <w:r>
              <w:rPr>
                <w:rFonts w:hint="eastAsia" w:cs="宋体" w:asciiTheme="minorEastAsia" w:hAnsiTheme="minorEastAsia" w:eastAsiaTheme="minorEastAsia"/>
                <w:sz w:val="24"/>
                <w:szCs w:val="24"/>
              </w:rPr>
              <w:t xml:space="preserve">桥梁的道路工程（县级以上快速路、高速公路、一级公路）估算审核、概算审核、最高投标限价审核、全过程跟踪审核或结算审核业务的（承担同一项目不同审核业务的，只计入1次业绩），有1个得5分，满分20分。</w:t>
            </w:r>
            <w:r/>
          </w:p>
          <w:p>
            <w:pPr>
              <w:jc w:val="left"/>
              <w:spacing w:line="440" w:lineRule="exact"/>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b/>
                <w:color w:val="000000" w:themeColor="text1"/>
                <w:sz w:val="24"/>
                <w:szCs w:val="24"/>
              </w:rPr>
              <w:t xml:space="preserve">业绩需提供委托方或政府部门出具的能充分证明承担过类似业绩的材料（中标通知书或合同或委托人证明材料等），原件扫描上传，未按要求提供的不得分。</w:t>
            </w:r>
            <w:r>
              <w:rPr>
                <w:rFonts w:hint="eastAsia" w:cs="宋体" w:asciiTheme="minorEastAsia" w:hAnsiTheme="minorEastAsia" w:eastAsiaTheme="minorEastAsia"/>
                <w:color w:val="000000" w:themeColor="text1"/>
                <w:sz w:val="24"/>
                <w:szCs w:val="24"/>
              </w:rPr>
              <w:t xml:space="preserve">                   </w:t>
            </w:r>
            <w:r/>
          </w:p>
        </w:tc>
      </w:tr>
      <w:tr>
        <w:trPr>
          <w:trHeight w:val="1058"/>
        </w:trPr>
        <w:tc>
          <w:tcPr>
            <w:tcW w:w="1413"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其他服务承诺</w:t>
            </w:r>
            <w:r/>
          </w:p>
          <w:p>
            <w:pPr>
              <w:spacing w:after="120"/>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w:t>
            </w:r>
            <w:r/>
          </w:p>
        </w:tc>
        <w:tc>
          <w:tcPr>
            <w:tcW w:w="8481" w:type="dxa"/>
            <w:vAlign w:val="center"/>
            <w:textDirection w:val="lrTb"/>
            <w:noWrap w:val="false"/>
          </w:tcPr>
          <w:p>
            <w:pPr>
              <w:jc w:val="left"/>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承诺应包含配合结算审核、档案资料管理、业务咨询、答疑等，</w:t>
            </w:r>
            <w:r>
              <w:rPr>
                <w:rFonts w:hint="eastAsia" w:cs="宋体" w:asciiTheme="minorEastAsia" w:hAnsiTheme="minorEastAsia" w:eastAsiaTheme="minorEastAsia"/>
                <w:sz w:val="24"/>
                <w:szCs w:val="24"/>
              </w:rPr>
              <w:t xml:space="preserve">完全响应</w:t>
            </w:r>
            <w:r>
              <w:rPr>
                <w:rFonts w:hint="eastAsia" w:cs="宋体" w:asciiTheme="minorEastAsia" w:hAnsiTheme="minorEastAsia" w:eastAsiaTheme="minorEastAsia"/>
                <w:sz w:val="24"/>
                <w:szCs w:val="24"/>
              </w:rPr>
              <w:t xml:space="preserve">需求得2分；</w:t>
            </w:r>
            <w:r>
              <w:rPr>
                <w:rFonts w:hint="eastAsia" w:cs="宋体" w:asciiTheme="minorEastAsia" w:hAnsiTheme="minorEastAsia" w:eastAsiaTheme="minorEastAsia"/>
                <w:color w:val="000000" w:themeColor="text1"/>
                <w:sz w:val="24"/>
                <w:szCs w:val="24"/>
              </w:rPr>
              <w:t xml:space="preserve">未响应需求或</w:t>
            </w:r>
            <w:r>
              <w:rPr>
                <w:rFonts w:hint="eastAsia" w:cs="宋体" w:asciiTheme="minorEastAsia" w:hAnsiTheme="minorEastAsia" w:eastAsiaTheme="minorEastAsia"/>
                <w:sz w:val="24"/>
                <w:szCs w:val="24"/>
              </w:rPr>
              <w:t xml:space="preserve">未提供的不得分。</w:t>
            </w:r>
            <w:r/>
          </w:p>
          <w:p>
            <w:pPr>
              <w:jc w:val="left"/>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（需提供承诺，原件扫描上传）</w:t>
            </w:r>
            <w:r/>
          </w:p>
        </w:tc>
      </w:tr>
    </w:tbl>
    <w:p>
      <w:pPr>
        <w:spacing w:before="120" w:after="120"/>
        <w:pBdr>
          <w:top w:val="none" w:color="000000" w:sz="4" w:space="0"/>
          <w:left w:val="none" w:color="000000" w:sz="4" w:space="0"/>
          <w:bottom w:val="none" w:color="000000" w:sz="4" w:space="0"/>
          <w:right w:val="none" w:color="000000" w:sz="4" w:space="0"/>
        </w:pBdr>
      </w:pPr>
      <w:r/>
      <w:r/>
    </w:p>
    <w:p>
      <w:pPr>
        <w:jc w:val="center"/>
        <w:spacing w:before="240" w:after="240"/>
        <w:rPr>
          <w:rFonts w:eastAsia="Times New Roman"/>
        </w:rPr>
        <w:pBdr>
          <w:top w:val="none" w:color="000000" w:sz="4" w:space="0"/>
          <w:left w:val="none" w:color="000000" w:sz="4" w:space="0"/>
          <w:bottom w:val="none" w:color="000000" w:sz="4" w:space="0"/>
          <w:right w:val="none" w:color="000000" w:sz="4" w:space="0"/>
        </w:pBdr>
      </w:pPr>
      <w:r>
        <w:rPr>
          <w:rFonts w:eastAsia="Times New Roman"/>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44"/>
          <w:szCs w:val="44"/>
        </w:rPr>
      </w:r>
      <w:r/>
    </w:p>
    <w:p>
      <w:pPr>
        <w:pStyle w:val="705"/>
        <w:rPr>
          <w:rFonts w:ascii="黑体" w:hAnsi="黑体" w:cs="黑体"/>
          <w:color w:val="000000"/>
          <w:szCs w:val="44"/>
        </w:rPr>
      </w:pPr>
      <w:r>
        <w:rPr>
          <w:rStyle w:val="899"/>
          <w:rFonts w:ascii="黑体" w:hAnsi="黑体" w:cs="黑体"/>
        </w:rPr>
        <w:t xml:space="preserve">第六章投标文件格式</w:t>
      </w:r>
      <w:r>
        <w:rPr>
          <w:rFonts w:ascii="黑体" w:hAnsi="黑体" w:cs="黑体"/>
          <w:color w:val="000000"/>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投标文件</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72"/>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w:t>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 </w:t>
      </w:r>
      <w:r/>
    </w:p>
    <w:p>
      <w:pPr>
        <w:ind w:firstLine="1084"/>
        <w:jc w:val="left"/>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4" w:space="0"/>
          <w:left w:val="none" w:color="000000" w:sz="4" w:space="0"/>
          <w:bottom w:val="none" w:color="000000" w:sz="4" w:space="0"/>
          <w:right w:val="none" w:color="000000" w:sz="4"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spacing w:line="438"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 </w:t>
      </w:r>
      <w:r/>
    </w:p>
    <w:p>
      <w:pPr>
        <w:ind w:firstLine="1084"/>
        <w:pBdr>
          <w:top w:val="none" w:color="000000" w:sz="4" w:space="0"/>
          <w:left w:val="none" w:color="000000" w:sz="4" w:space="0"/>
          <w:bottom w:val="none" w:color="000000" w:sz="4" w:space="0"/>
          <w:right w:val="none" w:color="000000" w:sz="4" w:space="0"/>
        </w:pBdr>
      </w:pPr>
      <w:r>
        <w:br w:type="page" w:clear="all"/>
      </w:r>
      <w:r/>
    </w:p>
    <w:p>
      <w:pPr>
        <w:jc w:val="center"/>
        <w:spacing w:line="438"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投标文件的组成</w:t>
      </w:r>
      <w:r/>
    </w:p>
    <w:p>
      <w:pPr>
        <w:jc w:val="center"/>
        <w:spacing w:line="438"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一、基本目录</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1.开标一览表（格式见附件1）</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2.投标分项报价表（格式见附件2）</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3.技术要求响应及偏离表（格式见附件3）</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4.商务要求响应及偏离表（格式见附件4）</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5.法人授权书（格式见附件5）</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6.投标函（格式见附件6）</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7.主要标的信息（格式见附件7）</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8.其他</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****（格式见附件**）</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二、资格审查内容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6.供应商信用承诺函（格式见附件10）</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7.企业报价折扣证明文件：</w:t>
      </w:r>
      <w:r/>
    </w:p>
    <w:p>
      <w:pPr>
        <w:ind w:firstLine="7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监狱企业的证明文件。</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三、符合性审查内容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四、价格扣除证明文件</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1.中小企业声明函（格式见附件11）</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2.残疾人福利性单位声明函（格式见附件12）</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 开标一览表</w:t>
      </w:r>
      <w:r>
        <w:rPr>
          <w:rFonts w:hint="eastAsia" w:ascii="宋体" w:hAnsi="宋体" w:cs="宋体"/>
          <w:b/>
          <w:color w:val="ff0000"/>
          <w:sz w:val="24"/>
        </w:rPr>
        <w:t xml:space="preserve">（本项目按固定价格报价）</w:t>
      </w:r>
      <w:r/>
    </w:p>
    <w:p>
      <w:pPr>
        <w:ind w:firstLine="482"/>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投标人全称（加盖CA电子签章）：</w:t>
      </w:r>
      <w:r/>
    </w:p>
    <w:p>
      <w:pPr>
        <w:ind w:firstLine="482"/>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项目编号：</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采购包号：</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vMerge w:val="restart"/>
            <w:textDirection w:val="lrTb"/>
            <w:noWrap w:val="false"/>
          </w:tcPr>
          <w:p>
            <w:pPr>
              <w:jc w:val="center"/>
              <w:spacing w:line="49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小写：                   （人民币：元）</w:t>
            </w:r>
            <w:r/>
          </w:p>
        </w:tc>
      </w:tr>
    </w:tbl>
    <w:p>
      <w:pPr>
        <w:ind w:firstLine="48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附件2             投标分项报价表（采购包号：**）</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tbl>
      <w:tblPr>
        <w:tblStyle w:val="74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1.投标报价</w:t>
      </w:r>
      <w:r>
        <w:rPr>
          <w:rFonts w:ascii="宋体" w:hAnsi="宋体" w:cs="宋体"/>
          <w:color w:val="000000"/>
          <w:sz w:val="24"/>
        </w:rPr>
        <w:t xml:space="preserve">采用总</w:t>
      </w:r>
      <w:r>
        <w:rPr>
          <w:rFonts w:ascii="宋体" w:hAnsi="宋体" w:cs="宋体"/>
          <w:color w:val="000000"/>
          <w:sz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2.“投标分项报价表”中“投标总报价”数额应当与“开标一览表”中“投标总报价”数额一致。</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 项目经办人可以根据项目实际需要对表格结构进行调整。</w:t>
      </w:r>
      <w:r/>
    </w:p>
    <w:p>
      <w:pPr>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附件3            技术要求响应及偏离表（采购包号：**）</w:t>
      </w:r>
      <w:r/>
    </w:p>
    <w:tbl>
      <w:tblPr>
        <w:tblStyle w:val="74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附件3-1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附件4             商务要求响应及偏离表（采购包号：**）</w:t>
      </w:r>
      <w:r/>
    </w:p>
    <w:tbl>
      <w:tblPr>
        <w:tblStyle w:val="742"/>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附件4-1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2.如果招标文件要求提供证明材料，投标人需将证明材料列于该表之下。</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5            </w:t>
      </w:r>
      <w:r>
        <w:rPr>
          <w:rFonts w:ascii="宋体" w:hAnsi="宋体" w:cs="宋体"/>
          <w:b/>
          <w:color w:val="000000"/>
          <w:sz w:val="24"/>
        </w:rPr>
        <w:t xml:space="preserve">法人授权书</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w:t>
      </w:r>
      <w:r>
        <w:rPr>
          <w:rFonts w:ascii="宋体" w:hAnsi="宋体" w:cs="宋体"/>
          <w:color w:val="000000"/>
          <w:sz w:val="24"/>
        </w:rPr>
        <w:t xml:space="preserve">采购活动的合法代理人，以本单位名义全权处理一切与该项目采购有关的事务。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日期：           </w:t>
      </w:r>
      <w:r/>
    </w:p>
    <w:p>
      <w:pPr>
        <w:ind w:firstLine="360"/>
        <w:spacing w:line="400" w:lineRule="atLeast"/>
        <w:pBdr>
          <w:top w:val="none" w:color="000000" w:sz="4" w:space="0"/>
          <w:left w:val="none" w:color="000000" w:sz="4" w:space="0"/>
          <w:bottom w:val="none" w:color="000000" w:sz="4" w:space="0"/>
          <w:right w:val="none" w:color="000000" w:sz="4" w:space="0"/>
        </w:pBdr>
      </w:pPr>
      <w:r/>
      <w:r/>
    </w:p>
    <w:p>
      <w:pPr>
        <w:spacing w:before="260" w:after="26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6             </w:t>
      </w:r>
      <w:r>
        <w:rPr>
          <w:rFonts w:ascii="宋体" w:hAnsi="宋体" w:cs="宋体"/>
          <w:b/>
          <w:color w:val="000000"/>
          <w:sz w:val="24"/>
        </w:rPr>
        <w:t xml:space="preserve">投标函</w:t>
      </w:r>
      <w:r/>
    </w:p>
    <w:p>
      <w:pPr>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致：扬州市公共资源交易中心：</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据此函，__________签字</w:t>
      </w:r>
      <w:r>
        <w:rPr>
          <w:rFonts w:ascii="宋体" w:hAnsi="宋体" w:cs="宋体"/>
          <w:color w:val="000000"/>
          <w:sz w:val="24"/>
        </w:rPr>
        <w:t xml:space="preserve">人兹宣布</w:t>
      </w:r>
      <w:r>
        <w:rPr>
          <w:rFonts w:ascii="宋体" w:hAnsi="宋体" w:cs="宋体"/>
          <w:color w:val="000000"/>
          <w:sz w:val="24"/>
        </w:rPr>
        <w:t xml:space="preserve">同意如下：</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邮编：</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电话：</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传真：</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投标人开户行：</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账号： </w:t>
      </w:r>
      <w:r/>
    </w:p>
    <w:p>
      <w:pPr>
        <w:ind w:left="420" w:firstLine="480"/>
        <w:spacing w:line="41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日期：______年____月____日</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附件7           主要标的信息（中标后将公示）</w:t>
      </w:r>
      <w:r/>
    </w:p>
    <w:p>
      <w:pPr>
        <w:spacing w:after="312"/>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投标人全称：</w:t>
      </w:r>
      <w:r/>
    </w:p>
    <w:tbl>
      <w:tblPr>
        <w:tblStyle w:val="742"/>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品牌（如有）：</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规格型号：</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服务要求：</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服务标准：</w:t>
            </w:r>
            <w:r/>
          </w:p>
        </w:tc>
      </w:tr>
    </w:tbl>
    <w:p>
      <w:pPr>
        <w:ind w:firstLine="200"/>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firstLine="200"/>
        <w:spacing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附件8</w:t>
      </w:r>
      <w:r/>
    </w:p>
    <w:p>
      <w:pPr>
        <w:ind w:firstLine="1205"/>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5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附件9</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left="48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480"/>
        <w:spacing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99"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w:t>
      </w:r>
      <w:r>
        <w:rPr>
          <w:rFonts w:ascii="宋体" w:hAnsi="宋体" w:cs="宋体"/>
          <w:b/>
          <w:color w:val="000000"/>
          <w:sz w:val="24"/>
        </w:rPr>
        <w:t xml:space="preserve">10             </w:t>
      </w:r>
      <w:r>
        <w:rPr>
          <w:rFonts w:ascii="宋体" w:hAnsi="宋体" w:cs="宋体"/>
          <w:b/>
          <w:color w:val="000000"/>
          <w:sz w:val="24"/>
        </w:rPr>
        <w:t xml:space="preserve">供应商信用承诺函</w:t>
      </w:r>
      <w:r/>
    </w:p>
    <w:p>
      <w:pPr>
        <w:spacing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承诺主体名称：</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统一社会信用代码：</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一、对提供给注册登记部门、行业管理部门、司法部门、行业组织以及在政府采</w:t>
      </w:r>
      <w:r>
        <w:rPr>
          <w:rFonts w:ascii="宋体" w:hAnsi="宋体" w:cs="宋体"/>
          <w:color w:val="000000"/>
          <w:sz w:val="24"/>
        </w:rPr>
        <w:t xml:space="preserve">购活动中提交的所有资料的合法性、真实性、准确性和有效性负责；</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五、自觉做到自我约束、自我管理，</w:t>
      </w:r>
      <w:r>
        <w:rPr>
          <w:rFonts w:ascii="宋体" w:hAnsi="宋体" w:cs="宋体"/>
          <w:color w:val="000000"/>
          <w:sz w:val="24"/>
        </w:rPr>
        <w:t xml:space="preserve">不</w:t>
      </w:r>
      <w:r>
        <w:rPr>
          <w:rFonts w:ascii="宋体" w:hAnsi="宋体" w:cs="宋体"/>
          <w:color w:val="000000"/>
          <w:sz w:val="24"/>
        </w:rPr>
        <w:t xml:space="preserve">制假售假、商标侵权、虚假宣传、违约毁约、恶意逃债、偷税漏税、垄断和不正当竞争，维护经营者、消费者的合法权益；</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十、</w:t>
      </w:r>
      <w:r>
        <w:rPr>
          <w:rFonts w:ascii="宋体" w:hAnsi="宋体" w:cs="宋体"/>
          <w:color w:val="000000"/>
          <w:sz w:val="24"/>
        </w:rPr>
        <w:t xml:space="preserve">本承诺</w:t>
      </w:r>
      <w:r>
        <w:rPr>
          <w:rFonts w:ascii="宋体" w:hAnsi="宋体" w:cs="宋体"/>
          <w:color w:val="000000"/>
          <w:sz w:val="24"/>
        </w:rPr>
        <w:t xml:space="preserve">书自签订之日起生效。</w:t>
      </w:r>
      <w:r/>
    </w:p>
    <w:p>
      <w:pPr>
        <w:ind w:firstLine="420"/>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jc w:val="cente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承诺单位（加盖CA电子公章）：    </w:t>
      </w:r>
      <w:r/>
    </w:p>
    <w:p>
      <w:pPr>
        <w:jc w:val="cente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年  月  日</w:t>
      </w:r>
      <w:r/>
    </w:p>
    <w:p>
      <w:pPr>
        <w:jc w:val="center"/>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r>
      <w:r/>
    </w:p>
    <w:p>
      <w:pPr>
        <w:spacing w:after="361"/>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附件11        中小企业声明函（服务类项目）（采购包号：**）</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租赁和商务服务业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租赁和商务服务业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right="180" w:firstLine="360"/>
        <w:jc w:val="righ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企业名称（加盖CA电子公章）：</w:t>
      </w:r>
      <w:r/>
    </w:p>
    <w:p>
      <w:pPr>
        <w:ind w:right="480" w:firstLine="540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  期：</w:t>
      </w:r>
      <w:r/>
    </w:p>
    <w:p>
      <w:pPr>
        <w:ind w:firstLine="24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1.从业人员、营业收入、资产总额填报上一年度数据，无上</w:t>
      </w:r>
      <w:r>
        <w:rPr>
          <w:rFonts w:ascii="宋体" w:hAnsi="宋体" w:cs="宋体"/>
          <w:color w:val="000000"/>
          <w:sz w:val="24"/>
        </w:rPr>
        <w:t xml:space="preserve">一</w:t>
      </w:r>
      <w:r>
        <w:rPr>
          <w:rFonts w:ascii="宋体" w:hAnsi="宋体" w:cs="宋体"/>
          <w:color w:val="000000"/>
          <w:sz w:val="24"/>
        </w:rPr>
        <w:t xml:space="preserve">年度数据的新成立企业可不填报。</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3.供应商应对照</w:t>
      </w:r>
      <w:r>
        <w:rPr>
          <w:rFonts w:ascii="宋体" w:hAnsi="宋体" w:cs="宋体"/>
          <w:color w:val="ff0000"/>
          <w:sz w:val="24"/>
        </w:rPr>
        <w:t xml:space="preserve">《</w:t>
      </w:r>
      <w:r>
        <w:rPr>
          <w:rFonts w:ascii="宋体" w:hAnsi="宋体" w:cs="宋体"/>
          <w:color w:val="ff0000"/>
          <w:sz w:val="24"/>
        </w:rPr>
        <w:t xml:space="preserve">工业和信息化部、国家统计局、国家发展和改革委员会、财政</w:t>
      </w:r>
      <w:r/>
    </w:p>
    <w:p>
      <w:pPr>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部关于印发中小企业划型标准规定的通知</w:t>
      </w:r>
      <w:r>
        <w:rPr>
          <w:rFonts w:ascii="宋体" w:hAnsi="宋体" w:cs="宋体"/>
          <w:color w:val="ff0000"/>
          <w:sz w:val="24"/>
        </w:rPr>
        <w:t xml:space="preserve">》</w:t>
      </w:r>
      <w:r>
        <w:rPr>
          <w:rFonts w:ascii="宋体" w:hAnsi="宋体" w:cs="宋体"/>
          <w:color w:val="ff0000"/>
          <w:sz w:val="24"/>
        </w:rPr>
        <w:t xml:space="preserve">(工信部联企业[2011]300号)《国家统计局关于印发〈统计上大中小微型企业划分办法（2017）〉的通知》（国统字〔2017〕213号）的规定，</w:t>
      </w:r>
      <w:r>
        <w:rPr>
          <w:rFonts w:ascii="宋体" w:hAnsi="宋体" w:cs="宋体"/>
          <w:color w:val="ff0000"/>
          <w:sz w:val="24"/>
        </w:rPr>
        <w:t xml:space="preserve">自行勾选承接</w:t>
      </w:r>
      <w:r>
        <w:rPr>
          <w:rFonts w:ascii="宋体" w:hAnsi="宋体" w:cs="宋体"/>
          <w:color w:val="ff0000"/>
          <w:sz w:val="24"/>
        </w:rPr>
        <w:t xml:space="preserve">企业的企业规模类型。 </w:t>
      </w:r>
      <w:r/>
    </w:p>
    <w:p>
      <w:pPr>
        <w:pBdr>
          <w:top w:val="none" w:color="000000" w:sz="4" w:space="0"/>
          <w:left w:val="none" w:color="000000" w:sz="4" w:space="0"/>
          <w:bottom w:val="none" w:color="000000" w:sz="4" w:space="0"/>
          <w:right w:val="none" w:color="000000" w:sz="4" w:space="0"/>
        </w:pBdr>
      </w:pPr>
      <w:r>
        <w:rPr>
          <w:rFonts w:ascii="宋体" w:hAnsi="宋体" w:cs="宋体"/>
          <w:color w:val="ff0000"/>
          <w:sz w:val="24"/>
        </w:rPr>
        <w:t xml:space="preserve"> </w:t>
      </w:r>
      <w:r/>
    </w:p>
    <w:p>
      <w:pPr>
        <w:jc w:val="center"/>
        <w:pBdr>
          <w:top w:val="none" w:color="000000" w:sz="4" w:space="0"/>
          <w:left w:val="none" w:color="000000" w:sz="4" w:space="0"/>
          <w:bottom w:val="none" w:color="000000" w:sz="4" w:space="0"/>
          <w:right w:val="none" w:color="000000" w:sz="4" w:space="0"/>
        </w:pBdr>
      </w:pPr>
      <w:r>
        <w:rPr>
          <w:rFonts w:eastAsia="Times New Roman"/>
          <w:b/>
          <w:color w:val="0070c0"/>
        </w:rPr>
        <w:t xml:space="preserve"> </w:t>
      </w:r>
      <w:r/>
    </w:p>
    <w:p>
      <w:pPr>
        <w:spacing w:before="300" w:after="452"/>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中小</w:t>
      </w:r>
      <w:r>
        <w:rPr>
          <w:rFonts w:ascii="DengXian" w:hAnsi="DengXian" w:eastAsia="DengXian" w:cs="DengXian"/>
          <w:b/>
          <w:color w:val="666666"/>
        </w:rPr>
        <w:t xml:space="preserve">微企业</w:t>
      </w:r>
      <w:r>
        <w:rPr>
          <w:rFonts w:ascii="DengXian" w:hAnsi="DengXian" w:eastAsia="DengXian" w:cs="DengXian"/>
          <w:b/>
          <w:color w:val="666666"/>
        </w:rPr>
        <w:t xml:space="preserve">划型标准如下：</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DengXian" w:hAnsi="DengXian" w:eastAsia="DengXian" w:cs="DengXian"/>
                <w:b/>
                <w:color w:val="666666"/>
              </w:rPr>
              <w:t xml:space="preserve">（</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6000≤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2000≤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300≤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营业收入（</w:t>
            </w:r>
            <w:r>
              <w:rPr>
                <w:rFonts w:ascii="宋体" w:hAnsi="宋体" w:cs="宋体"/>
                <w:b/>
                <w:color w:val="666666"/>
              </w:rPr>
              <w:t xml:space="preserve">Y</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500≤</w:t>
            </w:r>
            <w:r>
              <w:rPr>
                <w:rFonts w:ascii="宋体" w:hAnsi="宋体" w:cs="宋体"/>
                <w:b/>
                <w:color w:val="666666"/>
              </w:rPr>
              <w:t xml:space="preserve">Y</w:t>
            </w:r>
            <w:r>
              <w:rPr>
                <w:rFonts w:ascii="DengXian" w:hAnsi="DengXian" w:eastAsia="DengXian" w:cs="DengXian"/>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资产总额（</w:t>
            </w:r>
            <w:r>
              <w:rPr>
                <w:rFonts w:ascii="宋体" w:hAnsi="宋体" w:cs="宋体"/>
                <w:b/>
                <w:color w:val="666666"/>
              </w:rPr>
              <w:t xml:space="preserve">Z</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8000≤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Z</w:t>
            </w:r>
            <w:r>
              <w:rPr>
                <w:rFonts w:ascii="DengXian" w:hAnsi="DengXian" w:eastAsia="DengXian" w:cs="DengXian"/>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从业人员（</w:t>
            </w:r>
            <w:r>
              <w:rPr>
                <w:rFonts w:ascii="宋体" w:hAnsi="宋体" w:cs="宋体"/>
                <w:b/>
                <w:color w:val="666666"/>
              </w:rPr>
              <w:t xml:space="preserve">X</w:t>
            </w:r>
            <w:r>
              <w:rPr>
                <w:rFonts w:ascii="DengXian" w:hAnsi="DengXian" w:eastAsia="DengXian" w:cs="DengXian"/>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10≤</w:t>
            </w:r>
            <w:r>
              <w:rPr>
                <w:rFonts w:ascii="宋体" w:hAnsi="宋体" w:cs="宋体"/>
                <w:b/>
                <w:color w:val="666666"/>
              </w:rPr>
              <w:t xml:space="preserve">X</w:t>
            </w:r>
            <w:r>
              <w:rPr>
                <w:rFonts w:ascii="DengXian" w:hAnsi="DengXian" w:eastAsia="DengXian" w:cs="DengXian"/>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X＜</w:t>
            </w:r>
            <w:r>
              <w:rPr>
                <w:rFonts w:ascii="宋体" w:hAnsi="宋体" w:cs="宋体"/>
                <w:b/>
                <w:color w:val="666666"/>
              </w:rPr>
              <w:t xml:space="preserve">10</w:t>
            </w:r>
            <w:r/>
          </w:p>
        </w:tc>
      </w:tr>
    </w:tbl>
    <w:p>
      <w:pPr>
        <w:ind w:firstLine="810"/>
        <w:spacing w:before="300" w:after="452"/>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3.中标/成交供应商为残疾人福利性单位的，此</w:t>
      </w:r>
      <w:r>
        <w:rPr>
          <w:rFonts w:ascii="宋体" w:hAnsi="宋体" w:cs="宋体"/>
          <w:color w:val="000000"/>
          <w:sz w:val="24"/>
        </w:rPr>
        <w:t xml:space="preserve">声明函将随</w:t>
      </w:r>
      <w:r>
        <w:rPr>
          <w:rFonts w:ascii="宋体" w:hAnsi="宋体" w:cs="宋体"/>
          <w:color w:val="000000"/>
          <w:sz w:val="24"/>
        </w:rPr>
        <w:t xml:space="preserve">中标/成交结果同时公告，接受社会监督</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供应商全称（加盖CA电子公章）：</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日期：</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附件13          联合体协议（参考格式）（采购包号：**）</w:t>
      </w:r>
      <w:r/>
    </w:p>
    <w:p>
      <w:pPr>
        <w:spacing w:line="400" w:lineRule="atLeast"/>
        <w:pBdr>
          <w:top w:val="none" w:color="000000" w:sz="4" w:space="0"/>
          <w:left w:val="none" w:color="000000" w:sz="4" w:space="0"/>
          <w:bottom w:val="none" w:color="000000" w:sz="4" w:space="0"/>
          <w:right w:val="none" w:color="000000" w:sz="4" w:space="0"/>
        </w:pBdr>
      </w:pPr>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5"/>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6"/>
        <w:jc w:val="right"/>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联合体中各供应商全称（公章）：     </w:t>
      </w:r>
      <w:r/>
    </w:p>
    <w:p>
      <w:pPr>
        <w:ind w:firstLine="646"/>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日期：</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4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spacing w:after="361"/>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附件14             实质性要求响应及偏离表（采购包号：**）</w:t>
      </w:r>
      <w:r/>
    </w:p>
    <w:tbl>
      <w:tblPr>
        <w:tblStyle w:val="74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附件14-1 证明材料1，证明材料2，……</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3.投标人未对实质性要求逐条</w:t>
      </w:r>
      <w:r>
        <w:rPr>
          <w:rFonts w:ascii="宋体" w:hAnsi="宋体" w:cs="宋体"/>
          <w:color w:val="000000"/>
          <w:sz w:val="24"/>
        </w:rPr>
        <w:t xml:space="preserve">作出</w:t>
      </w:r>
      <w:r>
        <w:rPr>
          <w:rFonts w:ascii="宋体" w:hAnsi="宋体" w:cs="宋体"/>
          <w:color w:val="000000"/>
          <w:sz w:val="24"/>
        </w:rPr>
        <w:t xml:space="preserve">明确响应的，或未按招标文件要求提供证明材料的，该采购包作无效投标处理。</w:t>
      </w:r>
      <w:r/>
    </w:p>
    <w:p>
      <w:p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t xml:space="preserve"> </w:t>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r>
      <w:r/>
    </w:p>
    <w:p>
      <w:pPr>
        <w:jc w:val="center"/>
        <w:rPr>
          <w:rFonts w:ascii="黑体" w:hAnsi="黑体" w:eastAsia="黑体" w:cs="黑体"/>
          <w:b/>
          <w:color w:val="000000"/>
          <w:sz w:val="32"/>
        </w:rPr>
        <w:pBdr>
          <w:top w:val="none" w:color="000000" w:sz="4" w:space="0"/>
          <w:left w:val="none" w:color="000000" w:sz="4" w:space="0"/>
          <w:bottom w:val="none" w:color="000000" w:sz="4" w:space="0"/>
          <w:right w:val="none" w:color="000000" w:sz="4" w:space="0"/>
        </w:pBdr>
      </w:pPr>
      <w:r>
        <w:rPr>
          <w:rFonts w:ascii="黑体" w:hAnsi="黑体" w:eastAsia="黑体" w:cs="黑体"/>
          <w:b/>
          <w:color w:val="000000"/>
          <w:sz w:val="32"/>
        </w:rPr>
      </w:r>
      <w:r/>
    </w:p>
    <w:p>
      <w:pPr>
        <w:jc w:val="center"/>
        <w:pBdr>
          <w:top w:val="none" w:color="000000" w:sz="4" w:space="0"/>
          <w:left w:val="none" w:color="000000" w:sz="4" w:space="0"/>
          <w:bottom w:val="none" w:color="000000" w:sz="4" w:space="0"/>
          <w:right w:val="none" w:color="000000" w:sz="4" w:space="0"/>
        </w:pBdr>
      </w:pPr>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 </w:t>
      </w:r>
      <w:r/>
    </w:p>
    <w:p>
      <w:pPr>
        <w:ind w:firstLine="3855"/>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项目服务方案</w:t>
      </w:r>
      <w:r/>
    </w:p>
    <w:p>
      <w:pPr>
        <w:jc w:val="left"/>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after="240" w:line="360" w:lineRule="auto"/>
        <w:rPr>
          <w:rFonts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包括</w:t>
      </w:r>
      <w:r>
        <w:rPr>
          <w:rFonts w:hint="eastAsia" w:asciiTheme="minorEastAsia" w:hAnsiTheme="minorEastAsia" w:eastAsiaTheme="minorEastAsia"/>
          <w:sz w:val="24"/>
          <w:szCs w:val="24"/>
        </w:rPr>
        <w:t xml:space="preserve">总体思路、工作制度、组织机构、进度方案、质量控制方案、难点分析、廉政风险控制方案等</w:t>
      </w:r>
      <w:r>
        <w:rPr>
          <w:rFonts w:asciiTheme="minorEastAsia" w:hAnsiTheme="minorEastAsia" w:eastAsiaTheme="minorEastAsia"/>
          <w:sz w:val="24"/>
          <w:szCs w:val="24"/>
        </w:rPr>
        <w:t xml:space="preserve">。</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right="-2"/>
        <w:jc w:val="cente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项目组人员一览表</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供应商全称（加盖公章）：     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844"/>
        <w:gridCol w:w="771"/>
        <w:gridCol w:w="1098"/>
        <w:gridCol w:w="893"/>
        <w:gridCol w:w="1157"/>
        <w:gridCol w:w="1014"/>
        <w:gridCol w:w="1527"/>
        <w:gridCol w:w="1527"/>
      </w:tblGrid>
      <w:tr>
        <w:trPr>
          <w:jc w:val="center"/>
          <w:trHeight w:val="545"/>
        </w:trPr>
        <w:tc>
          <w:tcPr>
            <w:tcW w:w="1055"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序号</w:t>
            </w:r>
            <w:r/>
          </w:p>
        </w:tc>
        <w:tc>
          <w:tcPr>
            <w:tcW w:w="844"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岗位</w:t>
            </w:r>
            <w:r/>
          </w:p>
        </w:tc>
        <w:tc>
          <w:tcPr>
            <w:tcW w:w="771"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姓 名</w:t>
            </w:r>
            <w:r/>
          </w:p>
        </w:tc>
        <w:tc>
          <w:tcPr>
            <w:tcW w:w="1098"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性别</w:t>
            </w:r>
            <w:r/>
          </w:p>
        </w:tc>
        <w:tc>
          <w:tcPr>
            <w:tcW w:w="893"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学历</w:t>
            </w:r>
            <w:r/>
          </w:p>
        </w:tc>
        <w:tc>
          <w:tcPr>
            <w:tcW w:w="1157"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出生年月</w:t>
            </w:r>
            <w:r/>
          </w:p>
        </w:tc>
        <w:tc>
          <w:tcPr>
            <w:tcW w:w="1014"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专业</w:t>
            </w:r>
            <w:r/>
          </w:p>
        </w:tc>
        <w:tc>
          <w:tcPr>
            <w:tcW w:w="1527"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证书</w:t>
            </w:r>
            <w:r/>
          </w:p>
        </w:tc>
        <w:tc>
          <w:tcPr>
            <w:tcW w:w="1527" w:type="dxa"/>
            <w:vAlign w:val="center"/>
            <w:textDirection w:val="lrTb"/>
            <w:noWrap w:val="false"/>
          </w:tcPr>
          <w:p>
            <w:pPr>
              <w:ind w:right="-2"/>
              <w:jc w:val="center"/>
              <w:spacing w:before="312"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备注</w:t>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Pr>
        <w:tc>
          <w:tcPr>
            <w:tcW w:w="1055"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4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771"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98"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893"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15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014"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W w:w="1527" w:type="dxa"/>
            <w:vAlign w:val="center"/>
            <w:textDirection w:val="lrTb"/>
            <w:noWrap w:val="false"/>
          </w:tcPr>
          <w:p>
            <w:pPr>
              <w:ind w:right="-2"/>
              <w:jc w:val="cente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日期：     年    月     日</w:t>
      </w:r>
      <w:r/>
    </w:p>
    <w:p>
      <w:pPr>
        <w:ind w:firstLine="131"/>
        <w:jc w:val="cente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131"/>
        <w:jc w:val="cente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131"/>
        <w:jc w:val="center"/>
        <w:spacing w:line="360" w:lineRule="auto"/>
        <w:rPr>
          <w:rFonts w:cs="宋体" w:asciiTheme="minorEastAsia" w:hAnsiTheme="minorEastAsia" w:eastAsiaTheme="minorEastAsia"/>
          <w:b/>
          <w:bCs/>
          <w:sz w:val="24"/>
          <w:szCs w:val="24"/>
          <w:u w:val="single"/>
        </w:rPr>
      </w:pPr>
      <w:r>
        <w:rPr>
          <w:rFonts w:hint="eastAsia" w:cs="宋体" w:asciiTheme="minorEastAsia" w:hAnsiTheme="minorEastAsia" w:eastAsiaTheme="minorEastAsia"/>
          <w:b/>
          <w:bCs/>
          <w:sz w:val="24"/>
          <w:szCs w:val="24"/>
        </w:rPr>
        <w:t xml:space="preserve">法人授权函</w:t>
      </w:r>
      <w:r/>
    </w:p>
    <w:p>
      <w:pPr>
        <w:ind w:firstLine="149"/>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本公司：</w:t>
      </w:r>
      <w:r>
        <w:rPr>
          <w:rFonts w:hint="eastAsia" w:cs="宋体" w:asciiTheme="minorEastAsia" w:hAnsiTheme="minorEastAsia" w:eastAsiaTheme="minorEastAsia"/>
          <w:sz w:val="24"/>
          <w:szCs w:val="24"/>
          <w:u w:val="single"/>
        </w:rPr>
        <w:t xml:space="preserve">               </w:t>
      </w:r>
      <w:r/>
    </w:p>
    <w:p>
      <w:pPr>
        <w:ind w:firstLine="149"/>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分公司：</w:t>
      </w:r>
      <w:r>
        <w:rPr>
          <w:rFonts w:hint="eastAsia" w:cs="宋体" w:asciiTheme="minorEastAsia" w:hAnsiTheme="minorEastAsia" w:eastAsiaTheme="minorEastAsia"/>
          <w:sz w:val="24"/>
          <w:szCs w:val="24"/>
          <w:u w:val="single"/>
        </w:rPr>
        <w:t xml:space="preserve">               </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本公司具有法人主体资格，分公司在本公司的支持和管理运营之下，享有本公司的资源优势，具备从事经营活动的权限和能力。</w:t>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本公司授权</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分公司参与本项目投标，本公司已知晓并同意；若分公司投标过程中、签订合同及履行合同过程中产生的义务和责任，本公司自愿承担。</w:t>
      </w:r>
      <w:r/>
    </w:p>
    <w:p>
      <w:pPr>
        <w:ind w:firstLine="5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特此说明。</w:t>
      </w:r>
      <w:r/>
    </w:p>
    <w:p>
      <w:pPr>
        <w:ind w:firstLine="56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本公司（盖章）：</w:t>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法定代表人签章：</w:t>
      </w:r>
      <w:r/>
    </w:p>
    <w:p>
      <w:pPr>
        <w:ind w:firstLine="560"/>
        <w:jc w:val="righ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  月   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3855"/>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3855"/>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3855"/>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驻场服务承诺</w:t>
      </w:r>
      <w:r/>
    </w:p>
    <w:p>
      <w:pPr>
        <w:ind w:firstLine="47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我公司已认真阅读招标文件，完全理解并接受招标文件中关于驻场服务的要求，现就驻场服务作如下承诺：</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我公司如果中标，将严格执行招标文件中关于驻场服务的要求，我公司投标文件中所列项目组成员（</w:t>
      </w:r>
      <w:r>
        <w:rPr>
          <w:rFonts w:hint="eastAsia" w:cs="宋体" w:asciiTheme="minorEastAsia" w:hAnsiTheme="minorEastAsia" w:eastAsiaTheme="minorEastAsia"/>
          <w:color w:val="000000"/>
          <w:sz w:val="24"/>
          <w:szCs w:val="24"/>
        </w:rPr>
        <w:t xml:space="preserve">除项目</w:t>
      </w:r>
      <w:r>
        <w:rPr>
          <w:rFonts w:hint="eastAsia" w:cs="宋体" w:asciiTheme="minorEastAsia" w:hAnsiTheme="minorEastAsia" w:eastAsiaTheme="minorEastAsia"/>
          <w:color w:val="000000"/>
          <w:sz w:val="24"/>
          <w:szCs w:val="24"/>
        </w:rPr>
        <w:t xml:space="preserve">负责人）实行全程驻场服务。在履约过程中，接受采购人采用人脸识别系统或其他有效手段对我公司驻场服务情况进行考勤。若未按要求进行全程驻场服务，即视为我公司失信违约，无条件接受采购人扣减我公司的服务费用，如果出现三次考勤不合格，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r/>
    </w:p>
    <w:p>
      <w:pPr>
        <w:ind w:firstLine="241"/>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投标人：（单位公章）</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法定代表人（签字）：</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后续服务承诺</w:t>
      </w:r>
      <w:r/>
    </w:p>
    <w:p>
      <w:pPr>
        <w:ind w:firstLine="567"/>
        <w:spacing w:line="360" w:lineRule="auto"/>
        <w:tabs>
          <w:tab w:val="left" w:pos="0" w:leader="none"/>
          <w:tab w:val="left" w:pos="993" w:leader="none"/>
          <w:tab w:val="left" w:pos="1134" w:leader="none"/>
        </w:tabs>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7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我公司已认真阅读招标文件，完全理解并接受招标文件中关于后续服务的要求，现就后续服务作如下承诺：</w:t>
      </w:r>
      <w:r/>
    </w:p>
    <w:p>
      <w:pPr>
        <w:ind w:firstLine="47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我公司如果成交，将严格执行招标文件中关于后续服务的要求。在履约过程中，接到采购人通知后项目负责人在 1小时内到达项目协调会现场。项目负责人若未按要求及时到达协调会现场，即视为我公司失信违约，无条件接受采购人扣减我公司的服务费用，如果项目负责人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r/>
    </w:p>
    <w:p>
      <w:pPr>
        <w:ind w:firstLine="472"/>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投标人：（单位公章）</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法定代表人（签字）：</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ascii="宋体" w:hAnsi="宋体" w:cs="宋体"/>
          <w:b/>
          <w:color w:val="000000"/>
          <w:sz w:val="32"/>
        </w:rPr>
        <w:pBdr>
          <w:top w:val="none" w:color="000000" w:sz="4" w:space="0"/>
          <w:left w:val="none" w:color="000000" w:sz="4" w:space="0"/>
          <w:bottom w:val="none" w:color="000000" w:sz="4" w:space="0"/>
          <w:right w:val="none" w:color="000000" w:sz="4" w:space="0"/>
        </w:pBdr>
      </w:pPr>
      <w:r>
        <w:rPr>
          <w:rFonts w:ascii="宋体" w:hAnsi="宋体" w:cs="宋体"/>
          <w:b/>
          <w:color w:val="000000"/>
          <w:sz w:val="32"/>
        </w:rPr>
      </w:r>
      <w:r/>
    </w:p>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32"/>
        </w:rPr>
        <w:t xml:space="preserve">质疑函范本</w:t>
      </w:r>
      <w:r/>
    </w:p>
    <w:p>
      <w:pPr>
        <w:spacing w:before="312"/>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一、质疑供应商基本信息</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二、质疑项目基本情况</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三、质疑事项具体内容</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质疑事项2</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四、与质疑事项相关的质疑请求</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签字(签章)：                   公章：                      </w:t>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日期：</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质疑函制作说明：</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2.质疑供应商若委托代理人进行质疑的，</w:t>
      </w:r>
      <w:r>
        <w:rPr>
          <w:rFonts w:ascii="宋体" w:hAnsi="宋体" w:cs="宋体"/>
          <w:color w:val="000000"/>
          <w:sz w:val="24"/>
        </w:rPr>
        <w:t xml:space="preserve">质疑函应按</w:t>
      </w:r>
      <w:r>
        <w:rPr>
          <w:rFonts w:ascii="宋体" w:hAnsi="宋体" w:cs="宋体"/>
          <w:color w:val="000000"/>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6.质疑供应商为自然人的，</w:t>
      </w:r>
      <w:r>
        <w:rPr>
          <w:rFonts w:ascii="宋体" w:hAnsi="宋体" w:cs="宋体"/>
          <w:color w:val="000000"/>
          <w:sz w:val="24"/>
        </w:rPr>
        <w:t xml:space="preserve">质疑函应由</w:t>
      </w:r>
      <w:r>
        <w:rPr>
          <w:rFonts w:ascii="宋体" w:hAnsi="宋体" w:cs="宋体"/>
          <w:color w:val="000000"/>
          <w:sz w:val="24"/>
        </w:rPr>
        <w:t xml:space="preserve">本人签字；质疑供应商为法人或者其他组织的，</w:t>
      </w:r>
      <w:r>
        <w:rPr>
          <w:rFonts w:ascii="宋体" w:hAnsi="宋体" w:cs="宋体"/>
          <w:color w:val="000000"/>
          <w:sz w:val="24"/>
        </w:rPr>
        <w:t xml:space="preserve">质疑函应由</w:t>
      </w:r>
      <w:r>
        <w:rPr>
          <w:rFonts w:ascii="宋体" w:hAnsi="宋体" w:cs="宋体"/>
          <w:color w:val="000000"/>
          <w:sz w:val="24"/>
        </w:rPr>
        <w:t xml:space="preserve">法定代表人、主要负责人，或者其授权代表签字或者盖章，并加盖公章。</w:t>
      </w:r>
      <w:r/>
    </w:p>
    <w:p>
      <w:pPr>
        <w:ind w:firstLine="480"/>
        <w:spacing w:line="400" w:lineRule="atLeast"/>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p>
    <w:p>
      <w:pPr>
        <w:pBdr>
          <w:top w:val="none" w:color="000000" w:sz="4" w:space="0"/>
          <w:left w:val="none" w:color="000000" w:sz="4" w:space="0"/>
          <w:bottom w:val="none" w:color="000000" w:sz="4" w:space="0"/>
          <w:right w:val="none" w:color="000000" w:sz="4" w:space="0"/>
        </w:pBdr>
      </w:pPr>
      <w:r>
        <w:rPr>
          <w:rFonts w:eastAsia="Times New Roman"/>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DengXian">
    <w:panose1 w:val="0201060003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25</w:t>
    </w:r>
    <w:r>
      <w:rPr>
        <w:rFonts w:ascii="宋体" w:hAnsi="宋体"/>
      </w:rPr>
      <w:fldChar w:fldCharType="end"/>
    </w:r>
    <w:r/>
  </w:p>
  <w:p>
    <w:pPr>
      <w:pStyle w:val="73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0"/>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6"/>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3"/>
  </w:num>
  <w:num w:numId="3">
    <w:abstractNumId w:val="4"/>
  </w:num>
  <w:num w:numId="4">
    <w:abstractNumId w:val="8"/>
  </w:num>
  <w:num w:numId="5">
    <w:abstractNumId w:val="2"/>
  </w:num>
  <w:num w:numId="6">
    <w:abstractNumId w:val="5"/>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Title Char"/>
    <w:basedOn w:val="714"/>
    <w:link w:val="728"/>
    <w:uiPriority w:val="10"/>
    <w:rPr>
      <w:sz w:val="48"/>
      <w:szCs w:val="48"/>
    </w:rPr>
  </w:style>
  <w:style w:type="character" w:styleId="699">
    <w:name w:val="Subtitle Char"/>
    <w:basedOn w:val="714"/>
    <w:link w:val="730"/>
    <w:uiPriority w:val="11"/>
    <w:rPr>
      <w:sz w:val="24"/>
      <w:szCs w:val="24"/>
    </w:rPr>
  </w:style>
  <w:style w:type="character" w:styleId="700">
    <w:name w:val="Quote Char"/>
    <w:link w:val="732"/>
    <w:uiPriority w:val="29"/>
    <w:rPr>
      <w:i/>
    </w:rPr>
  </w:style>
  <w:style w:type="character" w:styleId="701">
    <w:name w:val="Intense Quote Char"/>
    <w:link w:val="734"/>
    <w:uiPriority w:val="30"/>
    <w:rPr>
      <w:i/>
    </w:rPr>
  </w:style>
  <w:style w:type="character" w:styleId="702">
    <w:name w:val="Footnote Text Char"/>
    <w:link w:val="869"/>
    <w:uiPriority w:val="99"/>
    <w:rPr>
      <w:sz w:val="18"/>
    </w:rPr>
  </w:style>
  <w:style w:type="character" w:styleId="703">
    <w:name w:val="Endnote Text Char"/>
    <w:link w:val="872"/>
    <w:uiPriority w:val="99"/>
    <w:rPr>
      <w:sz w:val="20"/>
    </w:rPr>
  </w:style>
  <w:style w:type="paragraph" w:styleId="704" w:default="1">
    <w:name w:val="Normal"/>
    <w:qFormat/>
    <w:pPr>
      <w:jc w:val="both"/>
      <w:widowControl w:val="off"/>
    </w:pPr>
    <w:rPr>
      <w:sz w:val="21"/>
      <w:szCs w:val="21"/>
    </w:rPr>
  </w:style>
  <w:style w:type="paragraph" w:styleId="705">
    <w:name w:val="Heading 1"/>
    <w:basedOn w:val="704"/>
    <w:next w:val="704"/>
    <w:link w:val="899"/>
    <w:qFormat/>
    <w:pPr>
      <w:jc w:val="center"/>
      <w:keepNext/>
      <w:outlineLvl w:val="0"/>
    </w:pPr>
    <w:rPr>
      <w:rFonts w:ascii="楷体_GB2312" w:hAnsi="楷体_GB2312" w:eastAsia="黑体"/>
      <w:sz w:val="44"/>
      <w:szCs w:val="28"/>
    </w:rPr>
  </w:style>
  <w:style w:type="paragraph" w:styleId="706">
    <w:name w:val="Heading 2"/>
    <w:basedOn w:val="704"/>
    <w:next w:val="948"/>
    <w:link w:val="887"/>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948"/>
    <w:link w:val="886"/>
    <w:qFormat/>
    <w:pPr>
      <w:keepLines/>
      <w:keepNext/>
      <w:spacing w:before="260" w:after="260" w:line="416" w:lineRule="auto"/>
      <w:outlineLvl w:val="2"/>
    </w:pPr>
    <w:rPr>
      <w:b/>
      <w:bCs/>
      <w:sz w:val="32"/>
      <w:szCs w:val="32"/>
    </w:rPr>
  </w:style>
  <w:style w:type="paragraph" w:styleId="708">
    <w:name w:val="Heading 4"/>
    <w:basedOn w:val="704"/>
    <w:next w:val="948"/>
    <w:link w:val="913"/>
    <w:qFormat/>
    <w:pPr>
      <w:keepLines/>
      <w:keepNext/>
      <w:spacing w:before="280" w:after="290" w:line="376" w:lineRule="auto"/>
      <w:outlineLvl w:val="3"/>
    </w:pPr>
    <w:rPr>
      <w:rFonts w:ascii="Arial" w:hAnsi="Arial" w:eastAsia="黑体" w:cs="Arial"/>
      <w:b/>
      <w:bCs/>
      <w:sz w:val="28"/>
      <w:szCs w:val="28"/>
    </w:rPr>
  </w:style>
  <w:style w:type="paragraph" w:styleId="709">
    <w:name w:val="Heading 5"/>
    <w:basedOn w:val="704"/>
    <w:next w:val="948"/>
    <w:link w:val="909"/>
    <w:qFormat/>
    <w:pPr>
      <w:keepNext/>
      <w:outlineLvl w:val="4"/>
    </w:pPr>
    <w:rPr>
      <w:rFonts w:ascii="宋体"/>
      <w:color w:val="000000"/>
      <w:sz w:val="28"/>
      <w:szCs w:val="28"/>
    </w:rPr>
  </w:style>
  <w:style w:type="paragraph" w:styleId="710">
    <w:name w:val="Heading 6"/>
    <w:basedOn w:val="704"/>
    <w:next w:val="704"/>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05"/>
    <w:qFormat/>
    <w:pPr>
      <w:numPr>
        <w:ilvl w:val="6"/>
        <w:numId w:val="1"/>
      </w:numPr>
      <w:keepLines/>
      <w:keepNext/>
      <w:spacing w:before="240" w:after="64" w:line="320" w:lineRule="auto"/>
      <w:outlineLvl w:val="6"/>
    </w:pPr>
    <w:rPr>
      <w:b/>
      <w:bCs/>
      <w:sz w:val="24"/>
      <w:szCs w:val="24"/>
    </w:rPr>
  </w:style>
  <w:style w:type="paragraph" w:styleId="712">
    <w:name w:val="Heading 8"/>
    <w:basedOn w:val="704"/>
    <w:next w:val="704"/>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07"/>
    <w:qFormat/>
    <w:pPr>
      <w:numPr>
        <w:ilvl w:val="8"/>
        <w:numId w:val="1"/>
      </w:numPr>
      <w:keepLines/>
      <w:keepNext/>
      <w:spacing w:before="240" w:after="64" w:line="320" w:lineRule="auto"/>
      <w:outlineLvl w:val="8"/>
    </w:pPr>
    <w:rPr>
      <w:rFonts w:ascii="Arial" w:hAnsi="Arial" w:eastAsia="黑体"/>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character" w:styleId="717" w:customStyle="1">
    <w:name w:val="Heading 1 Char"/>
    <w:uiPriority w:val="9"/>
    <w:rPr>
      <w:rFonts w:ascii="Arial" w:hAnsi="Arial" w:eastAsia="Arial" w:cs="Arial"/>
      <w:sz w:val="40"/>
      <w:szCs w:val="40"/>
    </w:rPr>
  </w:style>
  <w:style w:type="character" w:styleId="718" w:customStyle="1">
    <w:name w:val="Heading 2 Char"/>
    <w:uiPriority w:val="9"/>
    <w:rPr>
      <w:rFonts w:ascii="Arial" w:hAnsi="Arial" w:eastAsia="Arial" w:cs="Arial"/>
      <w:sz w:val="34"/>
    </w:rPr>
  </w:style>
  <w:style w:type="character" w:styleId="719" w:customStyle="1">
    <w:name w:val="Heading 3 Char"/>
    <w:uiPriority w:val="9"/>
    <w:rPr>
      <w:rFonts w:ascii="Arial" w:hAnsi="Arial" w:eastAsia="Arial" w:cs="Arial"/>
      <w:sz w:val="30"/>
      <w:szCs w:val="30"/>
    </w:rPr>
  </w:style>
  <w:style w:type="character" w:styleId="720" w:customStyle="1">
    <w:name w:val="Heading 4 Char"/>
    <w:uiPriority w:val="9"/>
    <w:rPr>
      <w:rFonts w:ascii="Arial" w:hAnsi="Arial" w:eastAsia="Arial" w:cs="Arial"/>
      <w:b/>
      <w:bCs/>
      <w:sz w:val="26"/>
      <w:szCs w:val="26"/>
    </w:rPr>
  </w:style>
  <w:style w:type="character" w:styleId="721" w:customStyle="1">
    <w:name w:val="Heading 5 Char"/>
    <w:uiPriority w:val="9"/>
    <w:rPr>
      <w:rFonts w:ascii="Arial" w:hAnsi="Arial" w:eastAsia="Arial" w:cs="Arial"/>
      <w:b/>
      <w:bCs/>
      <w:sz w:val="24"/>
      <w:szCs w:val="24"/>
    </w:rPr>
  </w:style>
  <w:style w:type="character" w:styleId="722" w:customStyle="1">
    <w:name w:val="Heading 6 Char"/>
    <w:uiPriority w:val="9"/>
    <w:rPr>
      <w:rFonts w:ascii="Arial" w:hAnsi="Arial" w:eastAsia="Arial" w:cs="Arial"/>
      <w:b/>
      <w:bCs/>
      <w:sz w:val="22"/>
      <w:szCs w:val="22"/>
    </w:rPr>
  </w:style>
  <w:style w:type="character" w:styleId="723" w:customStyle="1">
    <w:name w:val="Heading 7 Char"/>
    <w:uiPriority w:val="9"/>
    <w:rPr>
      <w:rFonts w:ascii="Arial" w:hAnsi="Arial" w:eastAsia="Arial" w:cs="Arial"/>
      <w:b/>
      <w:bCs/>
      <w:i/>
      <w:iCs/>
      <w:sz w:val="22"/>
      <w:szCs w:val="22"/>
    </w:rPr>
  </w:style>
  <w:style w:type="character" w:styleId="724" w:customStyle="1">
    <w:name w:val="Heading 8 Char"/>
    <w:uiPriority w:val="9"/>
    <w:rPr>
      <w:rFonts w:ascii="Arial" w:hAnsi="Arial" w:eastAsia="Arial" w:cs="Arial"/>
      <w:i/>
      <w:iCs/>
      <w:sz w:val="22"/>
      <w:szCs w:val="22"/>
    </w:rPr>
  </w:style>
  <w:style w:type="character" w:styleId="725" w:customStyle="1">
    <w:name w:val="Heading 9 Char"/>
    <w:uiPriority w:val="9"/>
    <w:rPr>
      <w:rFonts w:ascii="Arial" w:hAnsi="Arial" w:eastAsia="Arial" w:cs="Arial"/>
      <w:i/>
      <w:iCs/>
      <w:sz w:val="21"/>
      <w:szCs w:val="21"/>
    </w:rPr>
  </w:style>
  <w:style w:type="paragraph" w:styleId="726">
    <w:name w:val="List Paragraph"/>
    <w:basedOn w:val="704"/>
    <w:qFormat/>
    <w:pPr>
      <w:contextualSpacing/>
      <w:ind w:left="720"/>
      <w:jc w:val="left"/>
      <w:widowControl/>
    </w:pPr>
    <w:rPr>
      <w:rFonts w:ascii="Calibri" w:hAnsi="Calibri"/>
      <w:sz w:val="24"/>
      <w:szCs w:val="24"/>
      <w:lang w:eastAsia="en-US" w:bidi="en-US"/>
    </w:rPr>
  </w:style>
  <w:style w:type="paragraph" w:styleId="727">
    <w:name w:val="No Spacing"/>
    <w:uiPriority w:val="99"/>
    <w:qFormat/>
    <w:pPr>
      <w:jc w:val="both"/>
      <w:widowControl w:val="off"/>
    </w:pPr>
    <w:rPr>
      <w:sz w:val="21"/>
      <w:szCs w:val="21"/>
    </w:rPr>
  </w:style>
  <w:style w:type="paragraph" w:styleId="728">
    <w:name w:val="Title"/>
    <w:basedOn w:val="704"/>
    <w:next w:val="704"/>
    <w:link w:val="729"/>
    <w:uiPriority w:val="10"/>
    <w:qFormat/>
    <w:pPr>
      <w:contextualSpacing/>
      <w:spacing w:before="300" w:after="200"/>
    </w:pPr>
    <w:rPr>
      <w:sz w:val="48"/>
      <w:szCs w:val="48"/>
    </w:rPr>
  </w:style>
  <w:style w:type="character" w:styleId="729" w:customStyle="1">
    <w:name w:val="标题 Char"/>
    <w:link w:val="728"/>
    <w:uiPriority w:val="10"/>
    <w:rPr>
      <w:sz w:val="48"/>
      <w:szCs w:val="48"/>
    </w:rPr>
  </w:style>
  <w:style w:type="paragraph" w:styleId="730">
    <w:name w:val="Subtitle"/>
    <w:basedOn w:val="704"/>
    <w:next w:val="704"/>
    <w:link w:val="731"/>
    <w:uiPriority w:val="11"/>
    <w:qFormat/>
    <w:pPr>
      <w:spacing w:before="200" w:after="200"/>
    </w:pPr>
    <w:rPr>
      <w:sz w:val="24"/>
      <w:szCs w:val="24"/>
    </w:rPr>
  </w:style>
  <w:style w:type="character" w:styleId="731" w:customStyle="1">
    <w:name w:val="副标题 Char"/>
    <w:link w:val="730"/>
    <w:uiPriority w:val="11"/>
    <w:rPr>
      <w:sz w:val="24"/>
      <w:szCs w:val="24"/>
    </w:rPr>
  </w:style>
  <w:style w:type="paragraph" w:styleId="732">
    <w:name w:val="Quote"/>
    <w:basedOn w:val="704"/>
    <w:next w:val="704"/>
    <w:link w:val="733"/>
    <w:uiPriority w:val="29"/>
    <w:qFormat/>
    <w:pPr>
      <w:ind w:left="720" w:right="720"/>
    </w:pPr>
    <w:rPr>
      <w:i/>
    </w:rPr>
  </w:style>
  <w:style w:type="character" w:styleId="733" w:customStyle="1">
    <w:name w:val="引用 Char"/>
    <w:link w:val="732"/>
    <w:uiPriority w:val="29"/>
    <w:rPr>
      <w:i/>
    </w:rPr>
  </w:style>
  <w:style w:type="paragraph" w:styleId="734">
    <w:name w:val="Intense Quote"/>
    <w:basedOn w:val="704"/>
    <w:next w:val="704"/>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Char"/>
    <w:link w:val="734"/>
    <w:uiPriority w:val="30"/>
    <w:rPr>
      <w:i/>
    </w:rPr>
  </w:style>
  <w:style w:type="paragraph" w:styleId="736">
    <w:name w:val="Header"/>
    <w:basedOn w:val="704"/>
    <w:link w:val="915"/>
    <w:pPr>
      <w:jc w:val="center"/>
      <w:tabs>
        <w:tab w:val="center" w:pos="4153" w:leader="none"/>
        <w:tab w:val="right" w:pos="8306" w:leader="none"/>
      </w:tabs>
      <w:pBdr>
        <w:bottom w:val="single" w:color="000000" w:sz="6" w:space="1"/>
      </w:pBdr>
    </w:pPr>
    <w:rPr>
      <w:sz w:val="18"/>
      <w:szCs w:val="18"/>
    </w:rPr>
  </w:style>
  <w:style w:type="character" w:styleId="737" w:customStyle="1">
    <w:name w:val="Header Char"/>
    <w:uiPriority w:val="99"/>
  </w:style>
  <w:style w:type="paragraph" w:styleId="738">
    <w:name w:val="Footer"/>
    <w:basedOn w:val="704"/>
    <w:link w:val="892"/>
    <w:pPr>
      <w:jc w:val="left"/>
      <w:tabs>
        <w:tab w:val="center" w:pos="4153" w:leader="none"/>
        <w:tab w:val="right" w:pos="8306" w:leader="none"/>
      </w:tabs>
    </w:pPr>
    <w:rPr>
      <w:sz w:val="18"/>
      <w:szCs w:val="18"/>
    </w:rPr>
  </w:style>
  <w:style w:type="character" w:styleId="739" w:customStyle="1">
    <w:name w:val="Footer Char"/>
    <w:uiPriority w:val="99"/>
  </w:style>
  <w:style w:type="paragraph" w:styleId="740">
    <w:name w:val="Caption"/>
    <w:basedOn w:val="704"/>
    <w:next w:val="704"/>
    <w:uiPriority w:val="35"/>
    <w:semiHidden/>
    <w:unhideWhenUsed/>
    <w:qFormat/>
    <w:pPr>
      <w:spacing w:line="276" w:lineRule="auto"/>
    </w:pPr>
    <w:rPr>
      <w:b/>
      <w:bCs/>
      <w:color w:val="4f81bd" w:themeColor="accent1"/>
      <w:sz w:val="18"/>
      <w:szCs w:val="18"/>
    </w:rPr>
  </w:style>
  <w:style w:type="character" w:styleId="741" w:customStyle="1">
    <w:name w:val="Caption Char"/>
    <w:uiPriority w:val="99"/>
  </w:style>
  <w:style w:type="table" w:styleId="742">
    <w:name w:val="Table Grid"/>
    <w:basedOn w:val="715"/>
    <w:pPr>
      <w:jc w:val="both"/>
      <w:widowControl w:val="off"/>
    </w:pPr>
    <w:tblPr>
      <w:tblInd w:w="0" w:type="dxa"/>
      <w:tblCellMar>
        <w:left w:w="108" w:type="dxa"/>
        <w:top w:w="0" w:type="dxa"/>
        <w:right w:w="108" w:type="dxa"/>
        <w:bottom w:w="0" w:type="dxa"/>
      </w:tblCellMar>
    </w:tblPr>
  </w:style>
  <w:style w:type="table" w:styleId="743"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4">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2"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3"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4"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5"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6"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7"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8"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9"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8"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5"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6"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7"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8"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9"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0">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6"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7"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8"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2"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4"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5"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name w:val="Hyperlink"/>
    <w:rPr>
      <w:color w:val="0000ff"/>
      <w:u w:val="single"/>
    </w:rPr>
  </w:style>
  <w:style w:type="paragraph" w:styleId="869">
    <w:name w:val="footnote text"/>
    <w:basedOn w:val="704"/>
    <w:link w:val="870"/>
    <w:uiPriority w:val="99"/>
    <w:semiHidden/>
    <w:unhideWhenUsed/>
    <w:pPr>
      <w:spacing w:after="40"/>
    </w:pPr>
    <w:rPr>
      <w:sz w:val="18"/>
    </w:rPr>
  </w:style>
  <w:style w:type="character" w:styleId="870" w:customStyle="1">
    <w:name w:val="脚注文本 Char"/>
    <w:link w:val="869"/>
    <w:uiPriority w:val="99"/>
    <w:rPr>
      <w:sz w:val="18"/>
    </w:rPr>
  </w:style>
  <w:style w:type="character" w:styleId="871">
    <w:name w:val="footnote reference"/>
    <w:uiPriority w:val="99"/>
    <w:unhideWhenUsed/>
    <w:rPr>
      <w:vertAlign w:val="superscript"/>
    </w:rPr>
  </w:style>
  <w:style w:type="paragraph" w:styleId="872">
    <w:name w:val="endnote text"/>
    <w:basedOn w:val="704"/>
    <w:link w:val="873"/>
    <w:uiPriority w:val="99"/>
    <w:semiHidden/>
    <w:unhideWhenUsed/>
    <w:rPr>
      <w:sz w:val="20"/>
    </w:rPr>
  </w:style>
  <w:style w:type="character" w:styleId="873" w:customStyle="1">
    <w:name w:val="尾注文本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704"/>
    <w:next w:val="704"/>
    <w:semiHidden/>
    <w:pPr>
      <w:jc w:val="left"/>
      <w:spacing w:before="120" w:after="120" w:line="400" w:lineRule="exact"/>
      <w:tabs>
        <w:tab w:val="right" w:pos="8720" w:leader="dot"/>
      </w:tabs>
    </w:pPr>
    <w:rPr>
      <w:rFonts w:ascii="宋体" w:hAnsi="宋体"/>
      <w:caps/>
      <w:sz w:val="24"/>
      <w:szCs w:val="24"/>
    </w:rPr>
  </w:style>
  <w:style w:type="paragraph" w:styleId="876">
    <w:name w:val="toc 2"/>
    <w:basedOn w:val="704"/>
    <w:next w:val="704"/>
    <w:semiHidden/>
    <w:pPr>
      <w:ind w:left="210"/>
      <w:jc w:val="left"/>
    </w:pPr>
    <w:rPr>
      <w:smallCaps/>
      <w:szCs w:val="24"/>
    </w:rPr>
  </w:style>
  <w:style w:type="paragraph" w:styleId="877">
    <w:name w:val="toc 3"/>
    <w:basedOn w:val="704"/>
    <w:next w:val="704"/>
    <w:semiHidden/>
    <w:pPr>
      <w:ind w:left="420"/>
      <w:jc w:val="left"/>
    </w:pPr>
    <w:rPr>
      <w:i/>
      <w:iCs/>
      <w:szCs w:val="24"/>
    </w:rPr>
  </w:style>
  <w:style w:type="paragraph" w:styleId="878">
    <w:name w:val="toc 4"/>
    <w:basedOn w:val="704"/>
    <w:next w:val="704"/>
    <w:semiHidden/>
    <w:pPr>
      <w:ind w:left="630"/>
      <w:jc w:val="left"/>
    </w:pPr>
  </w:style>
  <w:style w:type="paragraph" w:styleId="879">
    <w:name w:val="toc 5"/>
    <w:basedOn w:val="704"/>
    <w:next w:val="704"/>
    <w:semiHidden/>
    <w:pPr>
      <w:ind w:left="840"/>
      <w:jc w:val="left"/>
    </w:pPr>
  </w:style>
  <w:style w:type="paragraph" w:styleId="880">
    <w:name w:val="toc 6"/>
    <w:basedOn w:val="704"/>
    <w:next w:val="704"/>
    <w:semiHidden/>
    <w:pPr>
      <w:ind w:left="1050"/>
      <w:jc w:val="left"/>
    </w:pPr>
  </w:style>
  <w:style w:type="paragraph" w:styleId="881">
    <w:name w:val="toc 7"/>
    <w:basedOn w:val="704"/>
    <w:next w:val="704"/>
    <w:semiHidden/>
    <w:pPr>
      <w:ind w:left="1260"/>
      <w:jc w:val="left"/>
    </w:pPr>
  </w:style>
  <w:style w:type="paragraph" w:styleId="882">
    <w:name w:val="toc 8"/>
    <w:basedOn w:val="704"/>
    <w:next w:val="704"/>
    <w:semiHidden/>
    <w:pPr>
      <w:ind w:left="1470"/>
      <w:jc w:val="left"/>
    </w:pPr>
  </w:style>
  <w:style w:type="paragraph" w:styleId="883">
    <w:name w:val="toc 9"/>
    <w:basedOn w:val="704"/>
    <w:next w:val="704"/>
    <w:semiHidden/>
    <w:pPr>
      <w:ind w:left="1680"/>
      <w:jc w:val="left"/>
    </w:pPr>
  </w:style>
  <w:style w:type="paragraph" w:styleId="884">
    <w:name w:val="TOC Heading"/>
    <w:uiPriority w:val="39"/>
    <w:unhideWhenUsed/>
  </w:style>
  <w:style w:type="paragraph" w:styleId="885">
    <w:name w:val="table of figures"/>
    <w:basedOn w:val="704"/>
    <w:next w:val="704"/>
    <w:semiHidden/>
    <w:pPr>
      <w:ind w:left="840" w:hanging="420"/>
    </w:pPr>
  </w:style>
  <w:style w:type="character" w:styleId="886" w:customStyle="1">
    <w:name w:val="标题 3 Char"/>
    <w:link w:val="707"/>
    <w:rPr>
      <w:rFonts w:ascii="Times New Roman" w:hAnsi="Times New Roman" w:eastAsia="宋体" w:cs="Times New Roman"/>
      <w:b/>
      <w:bCs/>
      <w:sz w:val="32"/>
      <w:szCs w:val="32"/>
    </w:rPr>
  </w:style>
  <w:style w:type="character" w:styleId="887" w:customStyle="1">
    <w:name w:val="标题 2 Char"/>
    <w:link w:val="706"/>
    <w:rPr>
      <w:rFonts w:ascii="Arial" w:hAnsi="Arial" w:eastAsia="幼圆" w:cs="Arial"/>
      <w:b/>
      <w:bCs/>
      <w:sz w:val="44"/>
      <w:szCs w:val="44"/>
    </w:rPr>
  </w:style>
  <w:style w:type="character" w:styleId="888">
    <w:name w:val="annotation reference"/>
    <w:semiHidden/>
    <w:rPr>
      <w:sz w:val="21"/>
      <w:szCs w:val="21"/>
    </w:rPr>
  </w:style>
  <w:style w:type="character" w:styleId="889" w:customStyle="1">
    <w:name w:val="纯文本 Char"/>
    <w:link w:val="955"/>
    <w:rPr>
      <w:rFonts w:ascii="宋体" w:hAnsi="Courier New" w:eastAsia="宋体" w:cs="Courier New"/>
      <w:szCs w:val="21"/>
    </w:rPr>
  </w:style>
  <w:style w:type="character" w:styleId="890" w:customStyle="1">
    <w:name w:val="文档结构图 Char"/>
    <w:link w:val="927"/>
    <w:semiHidden/>
    <w:rPr>
      <w:rFonts w:ascii="Times New Roman" w:hAnsi="Times New Roman" w:eastAsia="宋体" w:cs="Times New Roman"/>
      <w:szCs w:val="21"/>
      <w:shd w:val="clear" w:color="auto" w:fill="000080"/>
    </w:rPr>
  </w:style>
  <w:style w:type="character" w:styleId="891">
    <w:name w:val="Strong"/>
    <w:qFormat/>
    <w:rPr>
      <w:b/>
      <w:bCs/>
    </w:rPr>
  </w:style>
  <w:style w:type="character" w:styleId="892" w:customStyle="1">
    <w:name w:val="页脚 Char"/>
    <w:link w:val="738"/>
    <w:rPr>
      <w:rFonts w:ascii="Times New Roman" w:hAnsi="Times New Roman" w:eastAsia="宋体" w:cs="Times New Roman"/>
      <w:sz w:val="18"/>
      <w:szCs w:val="18"/>
    </w:rPr>
  </w:style>
  <w:style w:type="character" w:styleId="893" w:customStyle="1">
    <w:name w:val="列出段落 Char"/>
    <w:link w:val="937"/>
    <w:rPr>
      <w:rFonts w:ascii="Calibri" w:hAnsi="Calibri"/>
      <w:sz w:val="24"/>
      <w:szCs w:val="24"/>
      <w:lang w:eastAsia="en-US" w:bidi="en-US"/>
    </w:rPr>
  </w:style>
  <w:style w:type="character" w:styleId="894" w:customStyle="1">
    <w:name w:val="标题 6 Char"/>
    <w:link w:val="710"/>
    <w:rPr>
      <w:rFonts w:ascii="Arial" w:hAnsi="Arial" w:eastAsia="黑体" w:cs="Times New Roman"/>
      <w:b/>
      <w:bCs/>
      <w:sz w:val="24"/>
      <w:szCs w:val="24"/>
    </w:rPr>
  </w:style>
  <w:style w:type="character" w:styleId="895" w:customStyle="1">
    <w:name w:val="批注主题 Char"/>
    <w:link w:val="957"/>
    <w:semiHidden/>
    <w:rPr>
      <w:rFonts w:ascii="Times New Roman" w:hAnsi="Times New Roman" w:eastAsia="宋体" w:cs="Times New Roman"/>
      <w:b/>
      <w:bCs/>
      <w:szCs w:val="21"/>
    </w:rPr>
  </w:style>
  <w:style w:type="character" w:styleId="896" w:customStyle="1">
    <w:name w:val="正文文本 2 Char"/>
    <w:link w:val="958"/>
    <w:rPr>
      <w:rFonts w:ascii="楷体_GB2312" w:hAnsi="Times New Roman" w:eastAsia="楷体_GB2312" w:cs="Times New Roman"/>
      <w:sz w:val="28"/>
      <w:szCs w:val="28"/>
    </w:rPr>
  </w:style>
  <w:style w:type="character" w:styleId="897" w:customStyle="1">
    <w:name w:val="正文首行缩进 Char"/>
    <w:link w:val="935"/>
    <w:rPr>
      <w:rFonts w:ascii="仿宋_GB2312" w:hAnsi="Times New Roman" w:eastAsia="仿宋_GB2312" w:cs="Times New Roman"/>
      <w:sz w:val="30"/>
      <w:szCs w:val="30"/>
    </w:rPr>
  </w:style>
  <w:style w:type="character" w:styleId="898" w:customStyle="1">
    <w:name w:val="正文首行缩进 2 Char"/>
    <w:link w:val="960"/>
    <w:rPr>
      <w:rFonts w:ascii="宋体" w:hAnsi="宋体" w:eastAsia="宋体" w:cs="Times New Roman"/>
      <w:sz w:val="32"/>
      <w:szCs w:val="20"/>
    </w:rPr>
  </w:style>
  <w:style w:type="character" w:styleId="899" w:customStyle="1">
    <w:name w:val="标题 1 Char"/>
    <w:link w:val="705"/>
    <w:rPr>
      <w:rFonts w:ascii="楷体_GB2312" w:hAnsi="楷体_GB2312" w:eastAsia="黑体" w:cs="Times New Roman"/>
      <w:sz w:val="44"/>
      <w:szCs w:val="28"/>
    </w:rPr>
  </w:style>
  <w:style w:type="character" w:styleId="900" w:customStyle="1">
    <w:name w:val="已访问的超链接"/>
    <w:rPr>
      <w:color w:val="800080"/>
      <w:u w:val="single"/>
    </w:rPr>
  </w:style>
  <w:style w:type="character" w:styleId="901" w:customStyle="1">
    <w:name w:val="正文文本 3 Char"/>
    <w:link w:val="936"/>
    <w:rPr>
      <w:rFonts w:ascii="仿宋_GB2312" w:hAnsi="Arial" w:eastAsia="仿宋_GB2312" w:cs="Times New Roman"/>
      <w:sz w:val="32"/>
      <w:szCs w:val="32"/>
    </w:rPr>
  </w:style>
  <w:style w:type="character" w:styleId="902" w:customStyle="1">
    <w:name w:val="二级目录 Char"/>
    <w:link w:val="940"/>
    <w:rPr>
      <w:b/>
      <w:sz w:val="30"/>
      <w:szCs w:val="28"/>
    </w:rPr>
  </w:style>
  <w:style w:type="character" w:styleId="903" w:customStyle="1">
    <w:name w:val="正文缩进 Char"/>
    <w:link w:val="948"/>
    <w:rPr>
      <w:rFonts w:ascii="Times New Roman" w:hAnsi="Times New Roman" w:eastAsia="宋体" w:cs="Times New Roman"/>
      <w:szCs w:val="21"/>
    </w:rPr>
  </w:style>
  <w:style w:type="character" w:styleId="904">
    <w:name w:val="page number"/>
  </w:style>
  <w:style w:type="character" w:styleId="905" w:customStyle="1">
    <w:name w:val="标题 7 Char"/>
    <w:link w:val="711"/>
    <w:rPr>
      <w:rFonts w:ascii="Times New Roman" w:hAnsi="Times New Roman" w:eastAsia="宋体" w:cs="Times New Roman"/>
      <w:b/>
      <w:bCs/>
      <w:sz w:val="24"/>
      <w:szCs w:val="24"/>
    </w:rPr>
  </w:style>
  <w:style w:type="character" w:styleId="906" w:customStyle="1">
    <w:name w:val="正文文本缩进 Char"/>
    <w:link w:val="922"/>
    <w:rPr>
      <w:rFonts w:ascii="楷体_GB2312" w:hAnsi="Times New Roman" w:eastAsia="楷体_GB2312" w:cs="Times New Roman"/>
      <w:sz w:val="32"/>
      <w:szCs w:val="32"/>
    </w:rPr>
  </w:style>
  <w:style w:type="character" w:styleId="907" w:customStyle="1">
    <w:name w:val="标题 9 Char"/>
    <w:link w:val="713"/>
    <w:rPr>
      <w:rFonts w:ascii="Arial" w:hAnsi="Arial" w:eastAsia="黑体" w:cs="Times New Roman"/>
      <w:szCs w:val="21"/>
    </w:rPr>
  </w:style>
  <w:style w:type="character" w:styleId="908" w:customStyle="1">
    <w:name w:val="批注文字 Char"/>
    <w:link w:val="959"/>
    <w:semiHidden/>
    <w:rPr>
      <w:rFonts w:ascii="Times New Roman" w:hAnsi="Times New Roman" w:eastAsia="宋体" w:cs="Times New Roman"/>
      <w:szCs w:val="21"/>
    </w:rPr>
  </w:style>
  <w:style w:type="character" w:styleId="909" w:customStyle="1">
    <w:name w:val="标题 5 Char"/>
    <w:link w:val="709"/>
    <w:rPr>
      <w:rFonts w:ascii="宋体" w:hAnsi="Times New Roman" w:eastAsia="宋体" w:cs="Times New Roman"/>
      <w:color w:val="000000"/>
      <w:sz w:val="28"/>
      <w:szCs w:val="28"/>
    </w:rPr>
  </w:style>
  <w:style w:type="character" w:styleId="910" w:customStyle="1">
    <w:name w:val="正文文本缩进 2 Char"/>
    <w:link w:val="942"/>
    <w:rPr>
      <w:rFonts w:ascii="Arial" w:hAnsi="Arial" w:eastAsia="仿宋_GB2312" w:cs="Arial"/>
      <w:sz w:val="32"/>
      <w:szCs w:val="32"/>
    </w:rPr>
  </w:style>
  <w:style w:type="character" w:styleId="911" w:customStyle="1">
    <w:name w:val="日期 Char"/>
    <w:link w:val="950"/>
    <w:rPr>
      <w:rFonts w:ascii="Times New Roman" w:hAnsi="Times New Roman" w:eastAsia="宋体" w:cs="Times New Roman"/>
      <w:sz w:val="24"/>
      <w:szCs w:val="24"/>
    </w:rPr>
  </w:style>
  <w:style w:type="character" w:styleId="912" w:customStyle="1">
    <w:name w:val="批注框文本 Char"/>
    <w:link w:val="925"/>
    <w:semiHidden/>
    <w:rPr>
      <w:rFonts w:ascii="Times New Roman" w:hAnsi="Times New Roman" w:eastAsia="宋体" w:cs="Times New Roman"/>
      <w:sz w:val="18"/>
      <w:szCs w:val="18"/>
    </w:rPr>
  </w:style>
  <w:style w:type="character" w:styleId="913" w:customStyle="1">
    <w:name w:val="标题 4 Char"/>
    <w:link w:val="708"/>
    <w:rPr>
      <w:rFonts w:ascii="Arial" w:hAnsi="Arial" w:eastAsia="黑体" w:cs="Arial"/>
      <w:b/>
      <w:bCs/>
      <w:sz w:val="28"/>
      <w:szCs w:val="28"/>
    </w:rPr>
  </w:style>
  <w:style w:type="character" w:styleId="914" w:customStyle="1">
    <w:name w:val="font5 Char"/>
    <w:rPr>
      <w:rFonts w:ascii="宋体" w:hAnsi="宋体" w:eastAsia="宋体"/>
      <w:sz w:val="28"/>
      <w:szCs w:val="28"/>
      <w:lang w:val="en-US" w:eastAsia="zh-CN" w:bidi="ar-SA"/>
    </w:rPr>
  </w:style>
  <w:style w:type="character" w:styleId="915" w:customStyle="1">
    <w:name w:val="页眉 Char"/>
    <w:link w:val="736"/>
    <w:rPr>
      <w:rFonts w:ascii="Times New Roman" w:hAnsi="Times New Roman" w:eastAsia="宋体" w:cs="Times New Roman"/>
      <w:sz w:val="18"/>
      <w:szCs w:val="18"/>
    </w:rPr>
  </w:style>
  <w:style w:type="character" w:styleId="916" w:customStyle="1">
    <w:name w:val="正文文本 Char"/>
    <w:link w:val="951"/>
    <w:rPr>
      <w:rFonts w:ascii="楷体_GB2312" w:hAnsi="Arial" w:eastAsia="楷体_GB2312" w:cs="Times New Roman"/>
      <w:sz w:val="28"/>
      <w:szCs w:val="28"/>
    </w:rPr>
  </w:style>
  <w:style w:type="character" w:styleId="917" w:customStyle="1">
    <w:name w:val="正文文本缩进 3 Char"/>
    <w:link w:val="954"/>
    <w:rPr>
      <w:rFonts w:ascii="Arial" w:hAnsi="Arial" w:eastAsia="仿宋_GB2312" w:cs="Arial"/>
      <w:color w:val="ffff00"/>
      <w:sz w:val="32"/>
      <w:szCs w:val="32"/>
    </w:rPr>
  </w:style>
  <w:style w:type="character" w:styleId="918" w:customStyle="1">
    <w:name w:val="标题 8 Char"/>
    <w:link w:val="712"/>
    <w:rPr>
      <w:rFonts w:ascii="Arial" w:hAnsi="Arial" w:eastAsia="黑体" w:cs="Times New Roman"/>
      <w:sz w:val="24"/>
      <w:szCs w:val="24"/>
    </w:rPr>
  </w:style>
  <w:style w:type="paragraph" w:styleId="919" w:customStyle="1">
    <w:name w:val="xl25"/>
    <w:basedOn w:val="7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0" w:customStyle="1">
    <w:name w:val="xl27"/>
    <w:basedOn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标题1"/>
    <w:basedOn w:val="704"/>
    <w:next w:val="704"/>
    <w:pPr>
      <w:jc w:val="center"/>
      <w:spacing w:line="700" w:lineRule="atLeast"/>
      <w:tabs>
        <w:tab w:val="left" w:pos="9193" w:leader="none"/>
        <w:tab w:val="left" w:pos="9827" w:leader="none"/>
      </w:tabs>
    </w:pPr>
    <w:rPr>
      <w:rFonts w:ascii="方正小标宋_GBK" w:eastAsia="方正小标宋_GBK"/>
      <w:sz w:val="44"/>
      <w:szCs w:val="20"/>
    </w:rPr>
  </w:style>
  <w:style w:type="paragraph" w:styleId="922">
    <w:name w:val="Body Text Indent"/>
    <w:basedOn w:val="704"/>
    <w:link w:val="906"/>
    <w:pPr>
      <w:ind w:firstLine="645"/>
    </w:pPr>
    <w:rPr>
      <w:rFonts w:ascii="楷体_GB2312" w:eastAsia="楷体_GB2312"/>
      <w:sz w:val="32"/>
      <w:szCs w:val="32"/>
    </w:rPr>
  </w:style>
  <w:style w:type="paragraph" w:styleId="923" w:customStyle="1">
    <w:name w:val="font6"/>
    <w:basedOn w:val="704"/>
    <w:pPr>
      <w:jc w:val="left"/>
      <w:spacing w:before="100" w:beforeAutospacing="1" w:after="100" w:afterAutospacing="1"/>
      <w:widowControl/>
    </w:pPr>
    <w:rPr>
      <w:rFonts w:hint="eastAsia" w:ascii="宋体" w:hAnsi="宋体"/>
      <w:sz w:val="28"/>
      <w:szCs w:val="28"/>
      <w:u w:val="single"/>
    </w:rPr>
  </w:style>
  <w:style w:type="paragraph" w:styleId="924" w:customStyle="1">
    <w:name w:val="xl30"/>
    <w:basedOn w:val="704"/>
    <w:pPr>
      <w:jc w:val="center"/>
      <w:spacing w:before="100" w:beforeAutospacing="1" w:after="100" w:afterAutospacing="1"/>
      <w:widowControl/>
    </w:pPr>
    <w:rPr>
      <w:rFonts w:ascii="宋体" w:hAnsi="宋体"/>
      <w:b/>
      <w:bCs/>
      <w:sz w:val="36"/>
      <w:szCs w:val="36"/>
    </w:rPr>
  </w:style>
  <w:style w:type="paragraph" w:styleId="925">
    <w:name w:val="Balloon Text"/>
    <w:basedOn w:val="704"/>
    <w:link w:val="912"/>
    <w:semiHidden/>
    <w:rPr>
      <w:sz w:val="18"/>
      <w:szCs w:val="18"/>
    </w:rPr>
  </w:style>
  <w:style w:type="paragraph" w:styleId="926" w:customStyle="1">
    <w:name w:val="font5"/>
    <w:basedOn w:val="704"/>
    <w:pPr>
      <w:jc w:val="left"/>
      <w:spacing w:before="100" w:beforeAutospacing="1" w:after="100" w:afterAutospacing="1"/>
      <w:widowControl/>
    </w:pPr>
    <w:rPr>
      <w:rFonts w:hint="eastAsia" w:ascii="宋体" w:hAnsi="宋体"/>
      <w:sz w:val="28"/>
      <w:szCs w:val="28"/>
    </w:rPr>
  </w:style>
  <w:style w:type="paragraph" w:styleId="927">
    <w:name w:val="Document Map"/>
    <w:basedOn w:val="704"/>
    <w:link w:val="890"/>
    <w:semiHidden/>
    <w:pPr>
      <w:shd w:val="clear" w:color="auto" w:fill="000080"/>
    </w:pPr>
  </w:style>
  <w:style w:type="paragraph" w:styleId="928" w:customStyle="1">
    <w:name w:val="图标"/>
    <w:basedOn w:val="704"/>
    <w:next w:val="7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9">
    <w:name w:val="List 3"/>
    <w:basedOn w:val="704"/>
    <w:pPr>
      <w:ind w:left="100" w:hanging="200"/>
    </w:pPr>
  </w:style>
  <w:style w:type="paragraph" w:styleId="930">
    <w:name w:val="List"/>
    <w:basedOn w:val="704"/>
    <w:pPr>
      <w:ind w:left="200" w:hanging="200"/>
    </w:pPr>
  </w:style>
  <w:style w:type="paragraph" w:styleId="931" w:customStyle="1">
    <w:name w:val="Char Char Char Char"/>
    <w:basedOn w:val="927"/>
    <w:pPr>
      <w:spacing w:line="360" w:lineRule="auto"/>
    </w:pPr>
    <w:rPr>
      <w:rFonts w:ascii="Tahoma" w:hAnsi="Tahoma"/>
      <w:sz w:val="24"/>
      <w:szCs w:val="24"/>
    </w:rPr>
  </w:style>
  <w:style w:type="paragraph" w:styleId="932">
    <w:name w:val="Revision"/>
    <w:uiPriority w:val="99"/>
    <w:semiHidden/>
    <w:rPr>
      <w:sz w:val="21"/>
      <w:szCs w:val="21"/>
    </w:rPr>
  </w:style>
  <w:style w:type="paragraph" w:styleId="933">
    <w:name w:val="List 2"/>
    <w:basedOn w:val="704"/>
    <w:pPr>
      <w:ind w:left="100" w:hanging="200"/>
    </w:pPr>
  </w:style>
  <w:style w:type="paragraph" w:styleId="934" w:customStyle="1">
    <w:name w:val="xl24"/>
    <w:basedOn w:val="7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name w:val="Body Text First Indent"/>
    <w:basedOn w:val="704"/>
    <w:link w:val="897"/>
    <w:pPr>
      <w:ind w:firstLine="200"/>
      <w:spacing w:line="360" w:lineRule="auto"/>
    </w:pPr>
    <w:rPr>
      <w:rFonts w:ascii="仿宋_GB2312" w:eastAsia="仿宋_GB2312"/>
      <w:sz w:val="30"/>
      <w:szCs w:val="30"/>
    </w:rPr>
  </w:style>
  <w:style w:type="paragraph" w:styleId="936">
    <w:name w:val="Body Text 3"/>
    <w:basedOn w:val="704"/>
    <w:link w:val="901"/>
    <w:rPr>
      <w:rFonts w:ascii="仿宋_GB2312" w:hAnsi="Arial" w:eastAsia="仿宋_GB2312"/>
      <w:sz w:val="32"/>
      <w:szCs w:val="32"/>
    </w:rPr>
  </w:style>
  <w:style w:type="paragraph" w:styleId="937" w:customStyle="1">
    <w:name w:val="列出段落1"/>
    <w:basedOn w:val="704"/>
    <w:link w:val="893"/>
    <w:qFormat/>
    <w:pPr>
      <w:contextualSpacing/>
      <w:ind w:left="720"/>
      <w:jc w:val="left"/>
      <w:widowControl/>
    </w:pPr>
    <w:rPr>
      <w:rFonts w:ascii="Calibri" w:hAnsi="Calibri"/>
      <w:sz w:val="24"/>
      <w:szCs w:val="24"/>
      <w:lang w:eastAsia="en-US" w:bidi="en-US"/>
    </w:rPr>
  </w:style>
  <w:style w:type="paragraph" w:styleId="938">
    <w:name w:val="Normal (Web)"/>
    <w:basedOn w:val="704"/>
    <w:uiPriority w:val="99"/>
    <w:pPr>
      <w:jc w:val="left"/>
      <w:spacing w:before="100" w:beforeAutospacing="1" w:after="100" w:afterAutospacing="1"/>
      <w:widowControl/>
    </w:pPr>
    <w:rPr>
      <w:rFonts w:ascii="宋体" w:hAnsi="宋体" w:cs="宋体"/>
      <w:sz w:val="24"/>
      <w:szCs w:val="24"/>
    </w:rPr>
  </w:style>
  <w:style w:type="paragraph" w:styleId="939"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940" w:customStyle="1">
    <w:name w:val="二级目录"/>
    <w:next w:val="704"/>
    <w:link w:val="902"/>
    <w:pPr>
      <w:numPr>
        <w:numId w:val="2"/>
      </w:numPr>
      <w:tabs>
        <w:tab w:val="left" w:pos="907" w:leader="none"/>
        <w:tab w:val="left" w:pos="1145" w:leader="none"/>
      </w:tabs>
      <w:outlineLvl w:val="1"/>
    </w:pPr>
    <w:rPr>
      <w:b/>
      <w:sz w:val="30"/>
      <w:szCs w:val="28"/>
    </w:rPr>
  </w:style>
  <w:style w:type="paragraph" w:styleId="941" w:customStyle="1">
    <w:name w:val="font7"/>
    <w:basedOn w:val="704"/>
    <w:pPr>
      <w:jc w:val="left"/>
      <w:spacing w:before="100" w:beforeAutospacing="1" w:after="100" w:afterAutospacing="1"/>
      <w:widowControl/>
    </w:pPr>
    <w:rPr>
      <w:rFonts w:hint="eastAsia" w:ascii="宋体" w:hAnsi="宋体"/>
      <w:sz w:val="18"/>
      <w:szCs w:val="18"/>
    </w:rPr>
  </w:style>
  <w:style w:type="paragraph" w:styleId="942">
    <w:name w:val="Body Text Indent 2"/>
    <w:basedOn w:val="704"/>
    <w:link w:val="910"/>
    <w:pPr>
      <w:ind w:left="630" w:firstLine="645"/>
    </w:pPr>
    <w:rPr>
      <w:rFonts w:ascii="Arial" w:hAnsi="Arial" w:eastAsia="仿宋_GB2312" w:cs="Arial"/>
      <w:sz w:val="32"/>
      <w:szCs w:val="32"/>
    </w:rPr>
  </w:style>
  <w:style w:type="paragraph" w:styleId="943">
    <w:name w:val="index 1"/>
    <w:basedOn w:val="704"/>
    <w:next w:val="704"/>
    <w:semiHidden/>
    <w:pPr>
      <w:spacing w:line="240" w:lineRule="atLeast"/>
    </w:pPr>
    <w:rPr>
      <w:b/>
      <w:bCs/>
    </w:rPr>
  </w:style>
  <w:style w:type="paragraph" w:styleId="944" w:customStyle="1">
    <w:name w:val="Char Char Char Char Char Char Char Char"/>
    <w:basedOn w:val="704"/>
    <w:pPr>
      <w:jc w:val="left"/>
      <w:spacing w:after="160" w:line="240" w:lineRule="exact"/>
      <w:widowControl/>
    </w:pPr>
    <w:rPr>
      <w:rFonts w:ascii="Verdana" w:hAnsi="Verdana"/>
      <w:sz w:val="20"/>
      <w:szCs w:val="20"/>
      <w:lang w:eastAsia="en-US"/>
    </w:rPr>
  </w:style>
  <w:style w:type="paragraph" w:styleId="945" w:customStyle="1">
    <w:name w:val="table_lines"/>
    <w:basedOn w:val="704"/>
    <w:pPr>
      <w:jc w:val="left"/>
      <w:widowControl/>
    </w:pPr>
    <w:rPr>
      <w:sz w:val="20"/>
      <w:szCs w:val="20"/>
      <w:lang w:val="de-DE" w:eastAsia="de-DE"/>
    </w:rPr>
  </w:style>
  <w:style w:type="paragraph" w:styleId="946" w:customStyle="1">
    <w:name w:val="Char"/>
    <w:basedOn w:val="927"/>
    <w:rPr>
      <w:rFonts w:ascii="Tahoma" w:hAnsi="Tahoma"/>
      <w:sz w:val="24"/>
      <w:szCs w:val="24"/>
    </w:rPr>
  </w:style>
  <w:style w:type="paragraph" w:styleId="947" w:customStyle="1">
    <w:name w:val="附录1"/>
    <w:pPr>
      <w:ind w:left="907" w:hanging="907"/>
      <w:spacing w:before="240" w:line="600" w:lineRule="atLeast"/>
      <w:tabs>
        <w:tab w:val="left" w:pos="907" w:leader="none"/>
      </w:tabs>
    </w:pPr>
    <w:rPr>
      <w:b/>
      <w:i/>
      <w:sz w:val="28"/>
    </w:rPr>
  </w:style>
  <w:style w:type="paragraph" w:styleId="948">
    <w:name w:val="Normal Indent"/>
    <w:basedOn w:val="704"/>
    <w:link w:val="903"/>
    <w:pPr>
      <w:ind w:firstLine="420"/>
    </w:pPr>
  </w:style>
  <w:style w:type="paragraph" w:styleId="949" w:customStyle="1">
    <w:name w:val="Body Text(ch)"/>
    <w:basedOn w:val="704"/>
    <w:next w:val="951"/>
    <w:pPr>
      <w:spacing w:after="120"/>
    </w:pPr>
    <w:rPr>
      <w:rFonts w:ascii="宋体" w:hAnsi="Arial"/>
      <w:bCs/>
      <w:iCs/>
      <w:szCs w:val="24"/>
    </w:rPr>
  </w:style>
  <w:style w:type="paragraph" w:styleId="950">
    <w:name w:val="Date"/>
    <w:basedOn w:val="704"/>
    <w:next w:val="704"/>
    <w:link w:val="911"/>
    <w:rPr>
      <w:sz w:val="24"/>
      <w:szCs w:val="24"/>
    </w:rPr>
  </w:style>
  <w:style w:type="paragraph" w:styleId="951">
    <w:name w:val="Body Text"/>
    <w:basedOn w:val="704"/>
    <w:link w:val="916"/>
    <w:rPr>
      <w:rFonts w:ascii="楷体_GB2312" w:hAnsi="Arial" w:eastAsia="楷体_GB2312"/>
      <w:sz w:val="28"/>
      <w:szCs w:val="28"/>
    </w:rPr>
  </w:style>
  <w:style w:type="paragraph" w:styleId="952" w:customStyle="1">
    <w:name w:val="xl28"/>
    <w:basedOn w:val="7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普通 (Web)"/>
    <w:basedOn w:val="704"/>
    <w:pPr>
      <w:jc w:val="left"/>
      <w:spacing w:before="100" w:beforeAutospacing="1" w:after="100" w:afterAutospacing="1"/>
      <w:widowControl/>
    </w:pPr>
    <w:rPr>
      <w:rFonts w:ascii="宋体" w:hAnsi="宋体"/>
      <w:sz w:val="24"/>
      <w:szCs w:val="24"/>
    </w:rPr>
  </w:style>
  <w:style w:type="paragraph" w:styleId="954">
    <w:name w:val="Body Text Indent 3"/>
    <w:basedOn w:val="704"/>
    <w:link w:val="917"/>
    <w:pPr>
      <w:ind w:left="645" w:firstLine="645"/>
    </w:pPr>
    <w:rPr>
      <w:rFonts w:ascii="Arial" w:hAnsi="Arial" w:eastAsia="仿宋_GB2312" w:cs="Arial"/>
      <w:color w:val="ffff00"/>
      <w:sz w:val="32"/>
      <w:szCs w:val="32"/>
    </w:rPr>
  </w:style>
  <w:style w:type="paragraph" w:styleId="955">
    <w:name w:val="Plain Text"/>
    <w:basedOn w:val="704"/>
    <w:link w:val="889"/>
    <w:rPr>
      <w:rFonts w:ascii="宋体" w:hAnsi="Courier New" w:cs="Courier New"/>
    </w:rPr>
  </w:style>
  <w:style w:type="paragraph" w:styleId="956" w:customStyle="1">
    <w:name w:val="普通正文"/>
    <w:basedOn w:val="704"/>
    <w:pPr>
      <w:ind w:firstLine="480"/>
      <w:jc w:val="left"/>
      <w:spacing w:before="120" w:after="120" w:line="360" w:lineRule="auto"/>
    </w:pPr>
    <w:rPr>
      <w:rFonts w:ascii="Arial" w:hAnsi="Arial"/>
      <w:sz w:val="24"/>
      <w:szCs w:val="24"/>
    </w:rPr>
  </w:style>
  <w:style w:type="paragraph" w:styleId="957">
    <w:name w:val="annotation subject"/>
    <w:basedOn w:val="959"/>
    <w:next w:val="959"/>
    <w:link w:val="895"/>
    <w:semiHidden/>
    <w:rPr>
      <w:b/>
      <w:bCs/>
    </w:rPr>
  </w:style>
  <w:style w:type="paragraph" w:styleId="958">
    <w:name w:val="Body Text 2"/>
    <w:basedOn w:val="704"/>
    <w:link w:val="896"/>
    <w:pPr>
      <w:jc w:val="center"/>
      <w:widowControl/>
    </w:pPr>
    <w:rPr>
      <w:rFonts w:ascii="楷体_GB2312" w:eastAsia="楷体_GB2312"/>
      <w:sz w:val="28"/>
      <w:szCs w:val="28"/>
    </w:rPr>
  </w:style>
  <w:style w:type="paragraph" w:styleId="959">
    <w:name w:val="annotation text"/>
    <w:basedOn w:val="704"/>
    <w:link w:val="908"/>
    <w:semiHidden/>
    <w:pPr>
      <w:jc w:val="left"/>
    </w:pPr>
  </w:style>
  <w:style w:type="paragraph" w:styleId="960">
    <w:name w:val="Body Text First Indent 2"/>
    <w:basedOn w:val="922"/>
    <w:link w:val="898"/>
    <w:pPr>
      <w:ind w:firstLine="420"/>
      <w:spacing w:line="360" w:lineRule="auto"/>
    </w:pPr>
    <w:rPr>
      <w:rFonts w:ascii="宋体" w:hAnsi="宋体" w:eastAsia="宋体"/>
      <w:sz w:val="21"/>
      <w:szCs w:val="20"/>
    </w:rPr>
  </w:style>
  <w:style w:type="paragraph" w:styleId="961" w:customStyle="1">
    <w:name w:val="xl26"/>
    <w:basedOn w:val="7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9"/>
    <w:basedOn w:val="7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3" w:customStyle="1">
    <w:name w:val="Char"/>
    <w:basedOn w:val="704"/>
    <w:pPr>
      <w:ind w:firstLine="200"/>
      <w:tabs>
        <w:tab w:val="left" w:pos="360" w:leader="none"/>
      </w:tabs>
    </w:pPr>
    <w:rPr>
      <w:sz w:val="28"/>
      <w:szCs w:val="30"/>
    </w:rPr>
  </w:style>
  <w:style w:type="paragraph" w:styleId="964" w:customStyle="1">
    <w:name w:val="4"/>
    <w:basedOn w:val="704"/>
    <w:next w:val="954"/>
    <w:pPr>
      <w:ind w:firstLine="420"/>
      <w:spacing w:line="360" w:lineRule="auto"/>
    </w:pPr>
    <w:rPr>
      <w:color w:val="ff0000"/>
      <w:sz w:val="24"/>
      <w:szCs w:val="24"/>
    </w:rPr>
  </w:style>
  <w:style w:type="paragraph" w:styleId="965" w:customStyle="1">
    <w:name w:val="Char Char Char Char Char Char Char Char Char Char"/>
    <w:basedOn w:val="704"/>
    <w:pPr>
      <w:spacing w:line="360" w:lineRule="auto"/>
    </w:pPr>
    <w:rPr>
      <w:sz w:val="24"/>
      <w:szCs w:val="20"/>
    </w:rPr>
  </w:style>
  <w:style w:type="paragraph" w:styleId="966" w:customStyle="1">
    <w:name w:val="样式1"/>
    <w:basedOn w:val="704"/>
    <w:pPr>
      <w:numPr>
        <w:numId w:val="3"/>
      </w:numPr>
      <w:tabs>
        <w:tab w:val="left" w:pos="709" w:leader="none"/>
      </w:tabs>
    </w:pPr>
    <w:rPr>
      <w:rFonts w:ascii="宋体" w:hAnsi="宋体"/>
    </w:rPr>
  </w:style>
  <w:style w:type="paragraph" w:styleId="967" w:customStyle="1">
    <w:name w:val="标题3"/>
    <w:basedOn w:val="704"/>
    <w:next w:val="704"/>
    <w:pPr>
      <w:ind w:firstLine="624"/>
      <w:spacing w:line="590" w:lineRule="atLeast"/>
    </w:pPr>
    <w:rPr>
      <w:rFonts w:ascii="方正黑体_GBK" w:eastAsia="方正黑体_GBK"/>
      <w:sz w:val="32"/>
      <w:szCs w:val="32"/>
    </w:rPr>
  </w:style>
  <w:style w:type="paragraph" w:styleId="968" w:customStyle="1">
    <w:name w:val="Char Char Char Char"/>
    <w:basedOn w:val="927"/>
    <w:pPr>
      <w:spacing w:line="360" w:lineRule="auto"/>
    </w:pPr>
    <w:rPr>
      <w:rFonts w:ascii="Tahoma" w:hAnsi="Tahoma"/>
      <w:sz w:val="24"/>
      <w:szCs w:val="24"/>
    </w:rPr>
  </w:style>
  <w:style w:type="paragraph" w:styleId="969" w:customStyle="1">
    <w:name w:val="table_1stline"/>
    <w:basedOn w:val="704"/>
    <w:pPr>
      <w:jc w:val="left"/>
      <w:spacing w:before="120"/>
      <w:widowControl/>
    </w:pPr>
    <w:rPr>
      <w:bCs/>
      <w:sz w:val="20"/>
      <w:szCs w:val="20"/>
      <w:lang w:val="de-DE" w:eastAsia="de-D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53</cp:revision>
  <dcterms:created xsi:type="dcterms:W3CDTF">2023-03-16T02:16:00Z</dcterms:created>
  <dcterms:modified xsi:type="dcterms:W3CDTF">2025-11-27T07:29:25Z</dcterms:modified>
</cp:coreProperties>
</file>